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80" w:line="324" w:lineRule="auto"/>
        <w:jc w:val="center"/>
      </w:pPr>
      <w:r>
        <w:rPr>
          <w:rFonts w:ascii="맑은 고딕" w:hAnsi="맑은 고딕" w:eastAsia="맑은 고딕"/>
          <w:b w:val="0"/>
          <w:i w:val="0"/>
          <w:color w:val="555A66"/>
          <w:sz w:val="20"/>
        </w:rPr>
        <w:t>AJASCHOOL · CONFIDENTIAL</w:t>
      </w:r>
    </w:p>
    <w:p>
      <w:pPr>
        <w:spacing w:after="80" w:line="324" w:lineRule="auto"/>
        <w:jc w:val="center"/>
      </w:pPr>
      <w:r>
        <w:rPr>
          <w:rFonts w:ascii="맑은 고딕" w:hAnsi="맑은 고딕" w:eastAsia="맑은 고딕"/>
          <w:b/>
          <w:i w:val="0"/>
          <w:color w:val="0B1F4D"/>
          <w:sz w:val="56"/>
        </w:rPr>
        <w:t>기업 전용 AI 운영 빌더</w:t>
      </w:r>
    </w:p>
    <w:p>
      <w:pPr>
        <w:spacing w:after="400" w:line="324" w:lineRule="auto"/>
        <w:jc w:val="center"/>
      </w:pPr>
      <w:r>
        <w:rPr>
          <w:rFonts w:ascii="맑은 고딕" w:hAnsi="맑은 고딕" w:eastAsia="맑은 고딕"/>
          <w:b w:val="0"/>
          <w:i/>
          <w:color w:val="1E40AF"/>
          <w:sz w:val="28"/>
        </w:rPr>
        <w:t>마스터 설계 v3.2 — 정정 정본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2016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문서 버전</w:t>
            </w:r>
          </w:p>
        </w:tc>
        <w:tc>
          <w:tcPr>
            <w:tcW w:type="dxa" w:w="6048"/>
            <w:shd w:val="clear" w:color="auto" w:fill="F4F6FB"/>
            <w:vAlign w:val="center"/>
          </w:tcPr>
          <w:p>
            <w:pPr>
              <w:spacing w:after="0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v3.2 · 2026.04 · 정본 (Authoritative)</w:t>
            </w:r>
          </w:p>
        </w:tc>
      </w:tr>
      <w:tr>
        <w:tc>
          <w:tcPr>
            <w:tcW w:type="dxa" w:w="2016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이전 버전</w:t>
            </w:r>
          </w:p>
        </w:tc>
        <w:tc>
          <w:tcPr>
            <w:tcW w:type="dxa" w:w="6048"/>
            <w:shd w:val="clear" w:color="auto" w:fill="F4F6FB"/>
            <w:vAlign w:val="center"/>
          </w:tcPr>
          <w:p>
            <w:pPr>
              <w:spacing w:after="0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v3.1 (이번 정정으로 대체)</w:t>
            </w:r>
          </w:p>
        </w:tc>
      </w:tr>
      <w:tr>
        <w:tc>
          <w:tcPr>
            <w:tcW w:type="dxa" w:w="2016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정정 근거</w:t>
            </w:r>
          </w:p>
        </w:tc>
        <w:tc>
          <w:tcPr>
            <w:tcW w:type="dxa" w:w="6048"/>
            <w:shd w:val="clear" w:color="auto" w:fill="F4F6FB"/>
            <w:vAlign w:val="center"/>
          </w:tcPr>
          <w:p>
            <w:pPr>
              <w:spacing w:after="0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자체 재점검 보고서 v1.0 — 치명 5건 (C-01 ~ C-05)</w:t>
            </w:r>
          </w:p>
        </w:tc>
      </w:tr>
      <w:tr>
        <w:tc>
          <w:tcPr>
            <w:tcW w:type="dxa" w:w="2016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대상 독자</w:t>
            </w:r>
          </w:p>
        </w:tc>
        <w:tc>
          <w:tcPr>
            <w:tcW w:type="dxa" w:w="6048"/>
            <w:shd w:val="clear" w:color="auto" w:fill="F4F6FB"/>
            <w:vAlign w:val="center"/>
          </w:tcPr>
          <w:p>
            <w:pPr>
              <w:spacing w:after="0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전사 — 외부 자료·내부 자료 모두 본 정본을 정의로 따른다</w:t>
            </w:r>
          </w:p>
        </w:tc>
      </w:tr>
      <w:tr>
        <w:tc>
          <w:tcPr>
            <w:tcW w:type="dxa" w:w="2016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정정 영역</w:t>
            </w:r>
          </w:p>
        </w:tc>
        <w:tc>
          <w:tcPr>
            <w:tcW w:type="dxa" w:w="6048"/>
            <w:shd w:val="clear" w:color="auto" w:fill="F4F6FB"/>
            <w:vAlign w:val="center"/>
          </w:tcPr>
          <w:p>
            <w:pPr>
              <w:spacing w:after="0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ROI 표기 / Skill Tier / Governance Phase / 가설 표기 / 컴플라이언스 표현</w:t>
            </w:r>
          </w:p>
        </w:tc>
      </w:tr>
    </w:tbl>
    <w:p>
      <w:pPr>
        <w:spacing w:after="160" w:line="324" w:lineRule="auto"/>
      </w:pPr>
    </w:p>
    <w:tbl>
      <w:tblPr>
        <w:tblW w:type="auto" w:w="0"/>
        <w:tblLook w:firstColumn="1" w:firstRow="1" w:lastColumn="0" w:lastRow="0" w:noHBand="0" w:noVBand="1" w:val="04A0"/>
      </w:tblPr>
      <w:tblGrid>
        <w:gridCol w:w="9972"/>
      </w:tblGrid>
      <w:tr>
        <w:tc>
          <w:tcPr>
            <w:tcW w:type="dxa" w:w="9972"/>
            <w:shd w:val="clear" w:color="auto" w:fill="F1F4FB"/>
            <w:tcBorders>
              <w:left w:val="single" w:sz="24" w:color="0B1F4D"/>
              <w:top w:val="single" w:sz="4" w:color="CCD3E0"/>
              <w:right w:val="single" w:sz="4" w:color="CCD3E0"/>
              <w:bottom w:val="single" w:sz="4" w:color="CCD3E0"/>
            </w:tcBorders>
          </w:tcPr>
          <w:p>
            <w:pPr>
              <w:spacing w:after="40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이 정본의 위치</w:t>
            </w:r>
          </w:p>
          <w:p>
            <w:pPr>
              <w:spacing w:after="0"/>
            </w:pPr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v3.0 / v3.1 마스터의 아키텍처·Skill·Agent·Governance 설계 골격은 그대로 유지된다. v3.2는 그 위에서 5가지 영역의 표현·범위·검증 기준을 명확히 한다. v3.1과 v3.2가 다를 경우 v3.2를 정의로 따른다.</w:t>
            </w:r>
          </w:p>
        </w:tc>
      </w:tr>
    </w:tbl>
    <w:p>
      <w:pPr>
        <w:spacing w:after="80" w:line="324" w:lineRule="auto"/>
      </w:pPr>
    </w:p>
    <w:p>
      <w:r>
        <w:br w:type="page"/>
      </w:r>
    </w:p>
    <w:p>
      <w:pPr>
        <w:spacing w:after="120" w:line="324" w:lineRule="auto" w:before="280"/>
        <w:pBdr>
          <w:bottom w:val="single" w:sz="12" w:color="B88A00" w:space="4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Change Log — v3.1 → v3.2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2493"/>
        <w:gridCol w:w="2493"/>
        <w:gridCol w:w="2493"/>
        <w:gridCol w:w="2493"/>
      </w:tblGrid>
      <w:tr>
        <w:tc>
          <w:tcPr>
            <w:tcW w:type="dxa" w:w="576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#</w:t>
            </w:r>
          </w:p>
        </w:tc>
        <w:tc>
          <w:tcPr>
            <w:tcW w:type="dxa" w:w="2448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영역</w:t>
            </w:r>
          </w:p>
        </w:tc>
        <w:tc>
          <w:tcPr>
            <w:tcW w:type="dxa" w:w="4896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v3.1 → v3.2 변경</w:t>
            </w:r>
          </w:p>
        </w:tc>
        <w:tc>
          <w:tcPr>
            <w:tcW w:type="dxa" w:w="1008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근거</w:t>
            </w:r>
          </w:p>
        </w:tc>
      </w:tr>
      <w:tr>
        <w:tc>
          <w:tcPr>
            <w:tcW w:type="dxa" w:w="57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1</w:t>
            </w:r>
          </w:p>
        </w:tc>
        <w:tc>
          <w:tcPr>
            <w:tcW w:type="dxa" w:w="244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ROI 표기 (§7)</w:t>
            </w:r>
          </w:p>
        </w:tc>
        <w:tc>
          <w:tcPr>
            <w:tcW w:type="dxa" w:w="489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단일 "Payback 2~4개월" → "고객 측 Payback (2~4개월) / 우리 측 Payback (6~10개월)" 분리 명시</w:t>
            </w:r>
          </w:p>
        </w:tc>
        <w:tc>
          <w:tcPr>
            <w:tcW w:type="dxa" w:w="100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C-01</w:t>
            </w:r>
          </w:p>
        </w:tc>
      </w:tr>
      <w:tr>
        <w:tc>
          <w:tcPr>
            <w:tcW w:type="dxa" w:w="57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2</w:t>
            </w:r>
          </w:p>
        </w:tc>
        <w:tc>
          <w:tcPr>
            <w:tcW w:type="dxa" w:w="244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Skill Catalog (§4)</w:t>
            </w:r>
          </w:p>
        </w:tc>
        <w:tc>
          <w:tcPr>
            <w:tcW w:type="dxa" w:w="489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MVP 42개 → Tier 도입: Core 18개 (MVP) / Extended 49개 (Beta) / Lab 18개 (실험)</w:t>
            </w:r>
          </w:p>
        </w:tc>
        <w:tc>
          <w:tcPr>
            <w:tcW w:type="dxa" w:w="100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C-02</w:t>
            </w:r>
          </w:p>
        </w:tc>
      </w:tr>
      <w:tr>
        <w:tc>
          <w:tcPr>
            <w:tcW w:type="dxa" w:w="57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3</w:t>
            </w:r>
          </w:p>
        </w:tc>
        <w:tc>
          <w:tcPr>
            <w:tcW w:type="dxa" w:w="244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Governance (§6)</w:t>
            </w:r>
          </w:p>
        </w:tc>
        <w:tc>
          <w:tcPr>
            <w:tcW w:type="dxa" w:w="489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8 모듈 4주 일괄 → Phase 1 (4주, M2·M3·M5·M8) + Phase 2 (8주, M1·M4·M6·M7) 분리</w:t>
            </w:r>
          </w:p>
        </w:tc>
        <w:tc>
          <w:tcPr>
            <w:tcW w:type="dxa" w:w="100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C-03</w:t>
            </w:r>
          </w:p>
        </w:tc>
      </w:tr>
      <w:tr>
        <w:tc>
          <w:tcPr>
            <w:tcW w:type="dxa" w:w="57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4</w:t>
            </w:r>
          </w:p>
        </w:tc>
        <w:tc>
          <w:tcPr>
            <w:tcW w:type="dxa" w:w="244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Self-serve / Pilot (§8 신설)</w:t>
            </w:r>
          </w:p>
        </w:tc>
        <w:tc>
          <w:tcPr>
            <w:tcW w:type="dxa" w:w="489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"Self-serve 75%" 단정 → "H2 가설" 표기 + Pilot 검증 KPI + 옵션 B 전환 트리거</w:t>
            </w:r>
          </w:p>
        </w:tc>
        <w:tc>
          <w:tcPr>
            <w:tcW w:type="dxa" w:w="100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C-04</w:t>
            </w:r>
          </w:p>
        </w:tc>
      </w:tr>
      <w:tr>
        <w:tc>
          <w:tcPr>
            <w:tcW w:type="dxa" w:w="57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5</w:t>
            </w:r>
          </w:p>
        </w:tc>
        <w:tc>
          <w:tcPr>
            <w:tcW w:type="dxa" w:w="244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컴플라이언스 표현 (§9 신설)</w:t>
            </w:r>
          </w:p>
        </w:tc>
        <w:tc>
          <w:tcPr>
            <w:tcW w:type="dxa" w:w="489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"한국 AI 기본법 시행으로 거버넌스 내장 AI만 가능" → "규제 동향에 대비한 거버넌스 설계"</w:t>
            </w:r>
          </w:p>
        </w:tc>
        <w:tc>
          <w:tcPr>
            <w:tcW w:type="dxa" w:w="100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C-05</w:t>
            </w:r>
          </w:p>
        </w:tc>
      </w:tr>
      <w:tr>
        <w:tc>
          <w:tcPr>
            <w:tcW w:type="dxa" w:w="57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6</w:t>
            </w:r>
          </w:p>
        </w:tc>
        <w:tc>
          <w:tcPr>
            <w:tcW w:type="dxa" w:w="244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에이전트 토폴로지 (§5)</w:t>
            </w:r>
          </w:p>
        </w:tc>
        <w:tc>
          <w:tcPr>
            <w:tcW w:type="dxa" w:w="489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9개 → MVP 4개 (Intake+Goal+Data 통합 / Analysis / Planning / Builder) + 확장 5개</w:t>
            </w:r>
          </w:p>
        </w:tc>
        <w:tc>
          <w:tcPr>
            <w:tcW w:type="dxa" w:w="100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M-01 (Medium 1건 추가 반영)</w:t>
            </w:r>
          </w:p>
        </w:tc>
      </w:tr>
    </w:tbl>
    <w:p>
      <w:pPr>
        <w:spacing w:after="40" w:line="324" w:lineRule="auto"/>
      </w:pPr>
    </w:p>
    <w:tbl>
      <w:tblPr>
        <w:tblW w:type="auto" w:w="0"/>
        <w:tblLook w:firstColumn="1" w:firstRow="1" w:lastColumn="0" w:lastRow="0" w:noHBand="0" w:noVBand="1" w:val="04A0"/>
      </w:tblPr>
      <w:tblGrid>
        <w:gridCol w:w="9972"/>
      </w:tblGrid>
      <w:tr>
        <w:tc>
          <w:tcPr>
            <w:tcW w:type="dxa" w:w="9972"/>
            <w:shd w:val="clear" w:color="auto" w:fill="F1F4FB"/>
            <w:tcBorders>
              <w:left w:val="single" w:sz="24" w:color="0B1F4D"/>
              <w:top w:val="single" w:sz="4" w:color="CCD3E0"/>
              <w:right w:val="single" w:sz="4" w:color="CCD3E0"/>
              <w:bottom w:val="single" w:sz="4" w:color="CCD3E0"/>
            </w:tcBorders>
          </w:tcPr>
          <w:p>
            <w:pPr>
              <w:spacing w:after="40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정정의 본질</w:t>
            </w:r>
          </w:p>
          <w:p>
            <w:pPr>
              <w:spacing w:after="0"/>
            </w:pPr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v3.1의 모든 진술이 틀린 것이 아니다. 단지 "검증된 사실" 과 "우리의 가설·목표" 가 같은 단어로 섞여 있던 것을 분리했을 뿐이다. 이 분리만으로 외부 자료 (IR·세일즈) 의 정직성과 신뢰가 크게 회복된다.</w:t>
            </w:r>
          </w:p>
        </w:tc>
      </w:tr>
    </w:tbl>
    <w:p>
      <w:pPr>
        <w:spacing w:after="80" w:line="324" w:lineRule="auto"/>
      </w:pPr>
    </w:p>
    <w:p>
      <w:r>
        <w:br w:type="page"/>
      </w:r>
    </w:p>
    <w:p>
      <w:pPr>
        <w:spacing w:after="120" w:line="324" w:lineRule="auto" w:before="280"/>
        <w:pBdr>
          <w:bottom w:val="single" w:sz="12" w:color="B88A00" w:space="4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1. 제품 개요 (변경 없음)</w:t>
      </w:r>
    </w:p>
    <w:p>
      <w:pPr>
        <w:spacing w:after="80" w:line="324" w:lineRule="auto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기업 전용 AI 운영 빌더는 "Skill을 부품처럼 조립해 운영을 자동화하는 빌더"이다. 고객의 업무·KPI를 받아 7-Layer 빌더가 ICP별 에이전트와 Skill 조합을 1주 안에 배포하고, Layer 7 Governance가 9가지 리스크를 다중 방어한다.</w:t>
      </w:r>
    </w:p>
    <w:p>
      <w:pPr>
        <w:spacing w:after="80" w:line="324" w:lineRule="auto"/>
      </w:pPr>
      <w:r>
        <w:rPr>
          <w:rFonts w:ascii="맑은 고딕" w:hAnsi="맑은 고딕" w:eastAsia="맑은 고딕"/>
          <w:b w:val="0"/>
          <w:i/>
          <w:color w:val="555A66"/>
          <w:sz w:val="21"/>
        </w:rPr>
        <w:t>v3.0/v3.1과 동일한 핵심 명제 3가지:</w:t>
      </w:r>
    </w:p>
    <w:p>
      <w:pPr>
        <w:spacing w:after="40" w:line="324" w:lineRule="auto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·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Atomic Skill — 원자 단위 스킬 카탈로그 (v3.2 기준 85개, Tier 분류)</w:t>
      </w:r>
    </w:p>
    <w:p>
      <w:pPr>
        <w:spacing w:after="40" w:line="324" w:lineRule="auto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·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7-Layer 빌더 — Intake에서 Builder까지 자동화</w:t>
      </w:r>
    </w:p>
    <w:p>
      <w:pPr>
        <w:spacing w:after="40" w:line="324" w:lineRule="auto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·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Governance 내장 — OWASP/NIST 정렬, Default-Safe 14</w:t>
      </w:r>
    </w:p>
    <w:p>
      <w:r>
        <w:br w:type="page"/>
      </w:r>
    </w:p>
    <w:p>
      <w:pPr>
        <w:spacing w:after="120" w:line="324" w:lineRule="auto" w:before="280"/>
        <w:pBdr>
          <w:bottom w:val="single" w:sz="12" w:color="B88A00" w:space="4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2. ICP · Beachhead (변경 없음)</w:t>
      </w:r>
    </w:p>
    <w:p>
      <w:pPr>
        <w:spacing w:after="80" w:line="324" w:lineRule="auto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ICP 정의는 v3.1과 동일하게 4개 "업무 병목" 기반으로 유지한다 (정의 정본).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1994"/>
        <w:gridCol w:w="1994"/>
        <w:gridCol w:w="1994"/>
        <w:gridCol w:w="1994"/>
        <w:gridCol w:w="1994"/>
      </w:tblGrid>
      <w:tr>
        <w:tc>
          <w:tcPr>
            <w:tcW w:type="dxa" w:w="432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#</w:t>
            </w:r>
          </w:p>
        </w:tc>
        <w:tc>
          <w:tcPr>
            <w:tcW w:type="dxa" w:w="1008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Code</w:t>
            </w:r>
          </w:p>
        </w:tc>
        <w:tc>
          <w:tcPr>
            <w:tcW w:type="dxa" w:w="2160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이름</w:t>
            </w:r>
          </w:p>
        </w:tc>
        <w:tc>
          <w:tcPr>
            <w:tcW w:type="dxa" w:w="3744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핵심 병목</w:t>
            </w:r>
          </w:p>
        </w:tc>
        <w:tc>
          <w:tcPr>
            <w:tcW w:type="dxa" w:w="1584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Tier</w:t>
            </w:r>
          </w:p>
        </w:tc>
      </w:tr>
      <w:tr>
        <w:tc>
          <w:tcPr>
            <w:tcW w:type="dxa" w:w="432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1</w:t>
            </w:r>
          </w:p>
        </w:tc>
        <w:tc>
          <w:tcPr>
            <w:tcW w:type="dxa" w:w="100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ICP-1</w:t>
            </w:r>
          </w:p>
        </w:tc>
        <w:tc>
          <w:tcPr>
            <w:tcW w:type="dxa" w:w="216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제안·IR 자동화</w:t>
            </w:r>
          </w:p>
        </w:tc>
        <w:tc>
          <w:tcPr>
            <w:tcW w:type="dxa" w:w="3744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주 1회+ 제안서·IR 작성, 자료 산재</w:t>
            </w:r>
          </w:p>
        </w:tc>
        <w:tc>
          <w:tcPr>
            <w:tcW w:type="dxa" w:w="1584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★ Beachhead</w:t>
            </w:r>
          </w:p>
        </w:tc>
      </w:tr>
      <w:tr>
        <w:tc>
          <w:tcPr>
            <w:tcW w:type="dxa" w:w="432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2</w:t>
            </w:r>
          </w:p>
        </w:tc>
        <w:tc>
          <w:tcPr>
            <w:tcW w:type="dxa" w:w="100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ICP-2</w:t>
            </w:r>
          </w:p>
        </w:tc>
        <w:tc>
          <w:tcPr>
            <w:tcW w:type="dxa" w:w="216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VOC·CS 자동화</w:t>
            </w:r>
          </w:p>
        </w:tc>
        <w:tc>
          <w:tcPr>
            <w:tcW w:type="dxa" w:w="3744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월 1,000건+ 문의 분류·답변</w:t>
            </w:r>
          </w:p>
        </w:tc>
        <w:tc>
          <w:tcPr>
            <w:tcW w:type="dxa" w:w="1584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Tier-2</w:t>
            </w:r>
          </w:p>
        </w:tc>
      </w:tr>
      <w:tr>
        <w:tc>
          <w:tcPr>
            <w:tcW w:type="dxa" w:w="432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3</w:t>
            </w:r>
          </w:p>
        </w:tc>
        <w:tc>
          <w:tcPr>
            <w:tcW w:type="dxa" w:w="100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ICP-3</w:t>
            </w:r>
          </w:p>
        </w:tc>
        <w:tc>
          <w:tcPr>
            <w:tcW w:type="dxa" w:w="216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데이터·인사이트</w:t>
            </w:r>
          </w:p>
        </w:tc>
        <w:tc>
          <w:tcPr>
            <w:tcW w:type="dxa" w:w="3744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엑셀·SQL 분석 인력 부족</w:t>
            </w:r>
          </w:p>
        </w:tc>
        <w:tc>
          <w:tcPr>
            <w:tcW w:type="dxa" w:w="1584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Tier-2</w:t>
            </w:r>
          </w:p>
        </w:tc>
      </w:tr>
      <w:tr>
        <w:tc>
          <w:tcPr>
            <w:tcW w:type="dxa" w:w="432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4</w:t>
            </w:r>
          </w:p>
        </w:tc>
        <w:tc>
          <w:tcPr>
            <w:tcW w:type="dxa" w:w="100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ICP-4</w:t>
            </w:r>
          </w:p>
        </w:tc>
        <w:tc>
          <w:tcPr>
            <w:tcW w:type="dxa" w:w="216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외부보고·감사 대응</w:t>
            </w:r>
          </w:p>
        </w:tc>
        <w:tc>
          <w:tcPr>
            <w:tcW w:type="dxa" w:w="3744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규제·세무·ESG 양식 변경 잦음</w:t>
            </w:r>
          </w:p>
        </w:tc>
        <w:tc>
          <w:tcPr>
            <w:tcW w:type="dxa" w:w="1584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Tier-3</w:t>
            </w:r>
          </w:p>
        </w:tc>
      </w:tr>
    </w:tbl>
    <w:p>
      <w:pPr>
        <w:spacing w:after="40" w:line="324" w:lineRule="auto"/>
      </w:pPr>
    </w:p>
    <w:p>
      <w:pPr>
        <w:spacing w:after="80" w:line="324" w:lineRule="auto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ICP-1을 Beachhead로 유지. 12개월 안에 ICP-1 단독으로 Year-1 ARR 검증 후 ICP-2/3 진입.</w:t>
      </w:r>
    </w:p>
    <w:p>
      <w:r>
        <w:br w:type="page"/>
      </w:r>
    </w:p>
    <w:p>
      <w:pPr>
        <w:spacing w:after="120" w:line="324" w:lineRule="auto" w:before="280"/>
        <w:pBdr>
          <w:bottom w:val="single" w:sz="12" w:color="B88A00" w:space="4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3. 7-Layer 아키텍처 (변경 없음)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2493"/>
        <w:gridCol w:w="2493"/>
        <w:gridCol w:w="2493"/>
        <w:gridCol w:w="2493"/>
      </w:tblGrid>
      <w:tr>
        <w:tc>
          <w:tcPr>
            <w:tcW w:type="dxa" w:w="720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Layer</w:t>
            </w:r>
          </w:p>
        </w:tc>
        <w:tc>
          <w:tcPr>
            <w:tcW w:type="dxa" w:w="1872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이름</w:t>
            </w:r>
          </w:p>
        </w:tc>
        <w:tc>
          <w:tcPr>
            <w:tcW w:type="dxa" w:w="4320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역할</w:t>
            </w:r>
          </w:p>
        </w:tc>
        <w:tc>
          <w:tcPr>
            <w:tcW w:type="dxa" w:w="2016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주 출력</w:t>
            </w:r>
          </w:p>
        </w:tc>
      </w:tr>
      <w:tr>
        <w:tc>
          <w:tcPr>
            <w:tcW w:type="dxa" w:w="72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L1</w:t>
            </w:r>
          </w:p>
        </w:tc>
        <w:tc>
          <w:tcPr>
            <w:tcW w:type="dxa" w:w="1872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Intake</w:t>
            </w:r>
          </w:p>
        </w:tc>
        <w:tc>
          <w:tcPr>
            <w:tcW w:type="dxa" w:w="432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업무·KPI 수집</w:t>
            </w:r>
          </w:p>
        </w:tc>
        <w:tc>
          <w:tcPr>
            <w:tcW w:type="dxa" w:w="201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intake_brief.json</w:t>
            </w:r>
          </w:p>
        </w:tc>
      </w:tr>
      <w:tr>
        <w:tc>
          <w:tcPr>
            <w:tcW w:type="dxa" w:w="72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L2</w:t>
            </w:r>
          </w:p>
        </w:tc>
        <w:tc>
          <w:tcPr>
            <w:tcW w:type="dxa" w:w="1872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Goal Mapper</w:t>
            </w:r>
          </w:p>
        </w:tc>
        <w:tc>
          <w:tcPr>
            <w:tcW w:type="dxa" w:w="432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목표 → Skill 조합 매핑</w:t>
            </w:r>
          </w:p>
        </w:tc>
        <w:tc>
          <w:tcPr>
            <w:tcW w:type="dxa" w:w="201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skill_plan.json</w:t>
            </w:r>
          </w:p>
        </w:tc>
      </w:tr>
      <w:tr>
        <w:tc>
          <w:tcPr>
            <w:tcW w:type="dxa" w:w="72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L3</w:t>
            </w:r>
          </w:p>
        </w:tc>
        <w:tc>
          <w:tcPr>
            <w:tcW w:type="dxa" w:w="1872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Data Request</w:t>
            </w:r>
          </w:p>
        </w:tc>
        <w:tc>
          <w:tcPr>
            <w:tcW w:type="dxa" w:w="432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데이터·권한 요청</w:t>
            </w:r>
          </w:p>
        </w:tc>
        <w:tc>
          <w:tcPr>
            <w:tcW w:type="dxa" w:w="201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data_inventory.json</w:t>
            </w:r>
          </w:p>
        </w:tc>
      </w:tr>
      <w:tr>
        <w:tc>
          <w:tcPr>
            <w:tcW w:type="dxa" w:w="72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L4</w:t>
            </w:r>
          </w:p>
        </w:tc>
        <w:tc>
          <w:tcPr>
            <w:tcW w:type="dxa" w:w="1872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Analysis</w:t>
            </w:r>
          </w:p>
        </w:tc>
        <w:tc>
          <w:tcPr>
            <w:tcW w:type="dxa" w:w="432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RAG·통계·이상감지</w:t>
            </w:r>
          </w:p>
        </w:tc>
        <w:tc>
          <w:tcPr>
            <w:tcW w:type="dxa" w:w="201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analysis_result.json</w:t>
            </w:r>
          </w:p>
        </w:tc>
      </w:tr>
      <w:tr>
        <w:tc>
          <w:tcPr>
            <w:tcW w:type="dxa" w:w="72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L5</w:t>
            </w:r>
          </w:p>
        </w:tc>
        <w:tc>
          <w:tcPr>
            <w:tcW w:type="dxa" w:w="1872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Planning</w:t>
            </w:r>
          </w:p>
        </w:tc>
        <w:tc>
          <w:tcPr>
            <w:tcW w:type="dxa" w:w="432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액션 플랜 산출</w:t>
            </w:r>
          </w:p>
        </w:tc>
        <w:tc>
          <w:tcPr>
            <w:tcW w:type="dxa" w:w="201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action_plan.md</w:t>
            </w:r>
          </w:p>
        </w:tc>
      </w:tr>
      <w:tr>
        <w:tc>
          <w:tcPr>
            <w:tcW w:type="dxa" w:w="72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L6</w:t>
            </w:r>
          </w:p>
        </w:tc>
        <w:tc>
          <w:tcPr>
            <w:tcW w:type="dxa" w:w="1872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Builder</w:t>
            </w:r>
          </w:p>
        </w:tc>
        <w:tc>
          <w:tcPr>
            <w:tcW w:type="dxa" w:w="432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조립·배포·운영</w:t>
            </w:r>
          </w:p>
        </w:tc>
        <w:tc>
          <w:tcPr>
            <w:tcW w:type="dxa" w:w="201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deployment.yaml</w:t>
            </w:r>
          </w:p>
        </w:tc>
      </w:tr>
      <w:tr>
        <w:tc>
          <w:tcPr>
            <w:tcW w:type="dxa" w:w="72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L7</w:t>
            </w:r>
          </w:p>
        </w:tc>
        <w:tc>
          <w:tcPr>
            <w:tcW w:type="dxa" w:w="1872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Governance</w:t>
            </w:r>
          </w:p>
        </w:tc>
        <w:tc>
          <w:tcPr>
            <w:tcW w:type="dxa" w:w="432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Cross-cutting 거버넌스</w:t>
            </w:r>
          </w:p>
        </w:tc>
        <w:tc>
          <w:tcPr>
            <w:tcW w:type="dxa" w:w="201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Audit / Policy 강제</w:t>
            </w:r>
          </w:p>
        </w:tc>
      </w:tr>
    </w:tbl>
    <w:p>
      <w:pPr>
        <w:spacing w:after="40" w:line="324" w:lineRule="auto"/>
      </w:pPr>
    </w:p>
    <w:p>
      <w:r>
        <w:br w:type="page"/>
      </w:r>
    </w:p>
    <w:p>
      <w:pPr>
        <w:spacing w:after="120" w:line="324" w:lineRule="auto" w:before="280"/>
        <w:pBdr>
          <w:bottom w:val="single" w:sz="12" w:color="B88A00" w:space="4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4. Skill Catalog v3.2 — Tier 도입 (★ C-02 정정)</w:t>
      </w:r>
    </w:p>
    <w:p>
      <w:pPr>
        <w:spacing w:after="40" w:line="324" w:lineRule="auto"/>
        <w:ind w:left="283"/>
      </w:pPr>
      <w:r>
        <w:rPr>
          <w:rFonts w:ascii="맑은 고딕" w:hAnsi="맑은 고딕" w:eastAsia="맑은 고딕"/>
          <w:b/>
          <w:i w:val="0"/>
          <w:color w:val="C0292A"/>
          <w:sz w:val="20"/>
        </w:rPr>
        <w:t xml:space="preserve">[v3.2 정정] </w:t>
      </w:r>
      <w:r>
        <w:rPr>
          <w:rFonts w:ascii="맑은 고딕" w:hAnsi="맑은 고딕" w:eastAsia="맑은 고딕"/>
          <w:b w:val="0"/>
          <w:i w:val="0"/>
          <w:color w:val="101A33"/>
          <w:sz w:val="20"/>
        </w:rPr>
        <w:t>v3.1의 "MVP 42 / Beta 39 / GA 4" 분류는 폐기. Skill Tier 3단계 (Core / Extended / Lab) 로 재정의.</w:t>
      </w:r>
    </w:p>
    <w:p>
      <w:pPr>
        <w:spacing w:after="80" w:line="324" w:lineRule="auto"/>
      </w:pPr>
      <w:r>
        <w:rPr>
          <w:rFonts w:ascii="맑은 고딕" w:hAnsi="맑은 고딕" w:eastAsia="맑은 고딕"/>
          <w:b/>
          <w:i w:val="0"/>
          <w:color w:val="0B1F4D"/>
          <w:sz w:val="27"/>
        </w:rPr>
        <w:t>4.1 Tier 정의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1994"/>
        <w:gridCol w:w="1994"/>
        <w:gridCol w:w="1994"/>
        <w:gridCol w:w="1994"/>
        <w:gridCol w:w="1994"/>
      </w:tblGrid>
      <w:tr>
        <w:tc>
          <w:tcPr>
            <w:tcW w:type="dxa" w:w="1008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Tier</w:t>
            </w:r>
          </w:p>
        </w:tc>
        <w:tc>
          <w:tcPr>
            <w:tcW w:type="dxa" w:w="3312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목적</w:t>
            </w:r>
          </w:p>
        </w:tc>
        <w:tc>
          <w:tcPr>
            <w:tcW w:type="dxa" w:w="2880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품질 기준</w:t>
            </w:r>
          </w:p>
        </w:tc>
        <w:tc>
          <w:tcPr>
            <w:tcW w:type="dxa" w:w="576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수</w:t>
            </w:r>
          </w:p>
        </w:tc>
        <w:tc>
          <w:tcPr>
            <w:tcW w:type="dxa" w:w="1872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출시 시점</w:t>
            </w:r>
          </w:p>
        </w:tc>
      </w:tr>
      <w:tr>
        <w:tc>
          <w:tcPr>
            <w:tcW w:type="dxa" w:w="100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Core</w:t>
            </w:r>
          </w:p>
        </w:tc>
        <w:tc>
          <w:tcPr>
            <w:tcW w:type="dxa" w:w="3312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ICP-1 워크플로우의 필수 부품</w:t>
            </w:r>
          </w:p>
        </w:tc>
        <w:tc>
          <w:tcPr>
            <w:tcW w:type="dxa" w:w="288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골든세트 ≥ 50개, 회귀 자동화, latency p95 SLA</w:t>
            </w:r>
          </w:p>
        </w:tc>
        <w:tc>
          <w:tcPr>
            <w:tcW w:type="dxa" w:w="57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18</w:t>
            </w:r>
          </w:p>
        </w:tc>
        <w:tc>
          <w:tcPr>
            <w:tcW w:type="dxa" w:w="1872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M0~M3 (Pilot 시작 전)</w:t>
            </w:r>
          </w:p>
        </w:tc>
      </w:tr>
      <w:tr>
        <w:tc>
          <w:tcPr>
            <w:tcW w:type="dxa" w:w="100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Extended</w:t>
            </w:r>
          </w:p>
        </w:tc>
        <w:tc>
          <w:tcPr>
            <w:tcW w:type="dxa" w:w="3312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ICP-2/3 / 도메인 팩 / Action / Multimodal 확장</w:t>
            </w:r>
          </w:p>
        </w:tc>
        <w:tc>
          <w:tcPr>
            <w:tcW w:type="dxa" w:w="288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골든세트 ≥ 20개, 단위 테스트</w:t>
            </w:r>
          </w:p>
        </w:tc>
        <w:tc>
          <w:tcPr>
            <w:tcW w:type="dxa" w:w="57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49</w:t>
            </w:r>
          </w:p>
        </w:tc>
        <w:tc>
          <w:tcPr>
            <w:tcW w:type="dxa" w:w="1872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M4~M9 (Beta)</w:t>
            </w:r>
          </w:p>
        </w:tc>
      </w:tr>
      <w:tr>
        <w:tc>
          <w:tcPr>
            <w:tcW w:type="dxa" w:w="100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Lab</w:t>
            </w:r>
          </w:p>
        </w:tc>
        <w:tc>
          <w:tcPr>
            <w:tcW w:type="dxa" w:w="3312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검증 안 된 실험 — 사용 가능하나 SLA 없음</w:t>
            </w:r>
          </w:p>
        </w:tc>
        <w:tc>
          <w:tcPr>
            <w:tcW w:type="dxa" w:w="288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동작 확인만</w:t>
            </w:r>
          </w:p>
        </w:tc>
        <w:tc>
          <w:tcPr>
            <w:tcW w:type="dxa" w:w="57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18</w:t>
            </w:r>
          </w:p>
        </w:tc>
        <w:tc>
          <w:tcPr>
            <w:tcW w:type="dxa" w:w="1872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상시 (실험)</w:t>
            </w:r>
          </w:p>
        </w:tc>
      </w:tr>
    </w:tbl>
    <w:p>
      <w:pPr>
        <w:spacing w:after="40" w:line="324" w:lineRule="auto"/>
      </w:pPr>
    </w:p>
    <w:p>
      <w:pPr>
        <w:spacing w:after="80" w:line="324" w:lineRule="auto"/>
      </w:pPr>
      <w:r>
        <w:rPr>
          <w:rFonts w:ascii="맑은 고딕" w:hAnsi="맑은 고딕" w:eastAsia="맑은 고딕"/>
          <w:b/>
          <w:i w:val="0"/>
          <w:color w:val="0B1F4D"/>
          <w:sz w:val="27"/>
        </w:rPr>
        <w:t>4.2 Core Skill 18개 (MVP 정본)</w:t>
      </w:r>
    </w:p>
    <w:p>
      <w:pPr>
        <w:spacing w:after="80" w:line="324" w:lineRule="auto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ICP-1 (제안·IR) 워크플로우 한 사이클 (자료 수집 → 분석 → 작성 → 포맷)을 단독으로 처리할 수 있는 최소 집합.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2493"/>
        <w:gridCol w:w="2493"/>
        <w:gridCol w:w="2493"/>
        <w:gridCol w:w="2493"/>
      </w:tblGrid>
      <w:tr>
        <w:tc>
          <w:tcPr>
            <w:tcW w:type="dxa" w:w="432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#</w:t>
            </w:r>
          </w:p>
        </w:tc>
        <w:tc>
          <w:tcPr>
            <w:tcW w:type="dxa" w:w="1008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ID</w:t>
            </w:r>
          </w:p>
        </w:tc>
        <w:tc>
          <w:tcPr>
            <w:tcW w:type="dxa" w:w="2448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이름</w:t>
            </w:r>
          </w:p>
        </w:tc>
        <w:tc>
          <w:tcPr>
            <w:tcW w:type="dxa" w:w="3888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역할 (워크플로우)</w:t>
            </w:r>
          </w:p>
        </w:tc>
      </w:tr>
      <w:tr>
        <w:tc>
          <w:tcPr>
            <w:tcW w:type="dxa" w:w="432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1</w:t>
            </w:r>
          </w:p>
        </w:tc>
        <w:tc>
          <w:tcPr>
            <w:tcW w:type="dxa" w:w="100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EX-01</w:t>
            </w:r>
          </w:p>
        </w:tc>
        <w:tc>
          <w:tcPr>
            <w:tcW w:type="dxa" w:w="244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표 구조 추출</w:t>
            </w:r>
          </w:p>
        </w:tc>
        <w:tc>
          <w:tcPr>
            <w:tcW w:type="dxa" w:w="388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자료 수집 — PDF/HWP 표</w:t>
            </w:r>
          </w:p>
        </w:tc>
      </w:tr>
      <w:tr>
        <w:tc>
          <w:tcPr>
            <w:tcW w:type="dxa" w:w="432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2</w:t>
            </w:r>
          </w:p>
        </w:tc>
        <w:tc>
          <w:tcPr>
            <w:tcW w:type="dxa" w:w="100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EX-02</w:t>
            </w:r>
          </w:p>
        </w:tc>
        <w:tc>
          <w:tcPr>
            <w:tcW w:type="dxa" w:w="244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PDF 본문 추출</w:t>
            </w:r>
          </w:p>
        </w:tc>
        <w:tc>
          <w:tcPr>
            <w:tcW w:type="dxa" w:w="388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자료 수집 — 본문</w:t>
            </w:r>
          </w:p>
        </w:tc>
      </w:tr>
      <w:tr>
        <w:tc>
          <w:tcPr>
            <w:tcW w:type="dxa" w:w="432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3</w:t>
            </w:r>
          </w:p>
        </w:tc>
        <w:tc>
          <w:tcPr>
            <w:tcW w:type="dxa" w:w="100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EX-08</w:t>
            </w:r>
          </w:p>
        </w:tc>
        <w:tc>
          <w:tcPr>
            <w:tcW w:type="dxa" w:w="244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문서 메타 추출</w:t>
            </w:r>
          </w:p>
        </w:tc>
        <w:tc>
          <w:tcPr>
            <w:tcW w:type="dxa" w:w="388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자료 수집 — 메타</w:t>
            </w:r>
          </w:p>
        </w:tc>
      </w:tr>
      <w:tr>
        <w:tc>
          <w:tcPr>
            <w:tcW w:type="dxa" w:w="432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4</w:t>
            </w:r>
          </w:p>
        </w:tc>
        <w:tc>
          <w:tcPr>
            <w:tcW w:type="dxa" w:w="100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EX-11</w:t>
            </w:r>
          </w:p>
        </w:tc>
        <w:tc>
          <w:tcPr>
            <w:tcW w:type="dxa" w:w="244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폼/설문 입력 추출</w:t>
            </w:r>
          </w:p>
        </w:tc>
        <w:tc>
          <w:tcPr>
            <w:tcW w:type="dxa" w:w="388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자료 수집 — 설문</w:t>
            </w:r>
          </w:p>
        </w:tc>
      </w:tr>
      <w:tr>
        <w:tc>
          <w:tcPr>
            <w:tcW w:type="dxa" w:w="432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5</w:t>
            </w:r>
          </w:p>
        </w:tc>
        <w:tc>
          <w:tcPr>
            <w:tcW w:type="dxa" w:w="100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CL-01</w:t>
            </w:r>
          </w:p>
        </w:tc>
        <w:tc>
          <w:tcPr>
            <w:tcW w:type="dxa" w:w="244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문서 카테고리 분류</w:t>
            </w:r>
          </w:p>
        </w:tc>
        <w:tc>
          <w:tcPr>
            <w:tcW w:type="dxa" w:w="388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자료 정리 — 분류</w:t>
            </w:r>
          </w:p>
        </w:tc>
      </w:tr>
      <w:tr>
        <w:tc>
          <w:tcPr>
            <w:tcW w:type="dxa" w:w="432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6</w:t>
            </w:r>
          </w:p>
        </w:tc>
        <w:tc>
          <w:tcPr>
            <w:tcW w:type="dxa" w:w="100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CL-08</w:t>
            </w:r>
          </w:p>
        </w:tc>
        <w:tc>
          <w:tcPr>
            <w:tcW w:type="dxa" w:w="244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민감정보 분류</w:t>
            </w:r>
          </w:p>
        </w:tc>
        <w:tc>
          <w:tcPr>
            <w:tcW w:type="dxa" w:w="388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자료 정리 — PII 라벨</w:t>
            </w:r>
          </w:p>
        </w:tc>
      </w:tr>
      <w:tr>
        <w:tc>
          <w:tcPr>
            <w:tcW w:type="dxa" w:w="432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7</w:t>
            </w:r>
          </w:p>
        </w:tc>
        <w:tc>
          <w:tcPr>
            <w:tcW w:type="dxa" w:w="100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AN-01</w:t>
            </w:r>
          </w:p>
        </w:tc>
        <w:tc>
          <w:tcPr>
            <w:tcW w:type="dxa" w:w="244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기본 통계 요약</w:t>
            </w:r>
          </w:p>
        </w:tc>
        <w:tc>
          <w:tcPr>
            <w:tcW w:type="dxa" w:w="388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분석 — 수치</w:t>
            </w:r>
          </w:p>
        </w:tc>
      </w:tr>
      <w:tr>
        <w:tc>
          <w:tcPr>
            <w:tcW w:type="dxa" w:w="432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8</w:t>
            </w:r>
          </w:p>
        </w:tc>
        <w:tc>
          <w:tcPr>
            <w:tcW w:type="dxa" w:w="100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AN-02</w:t>
            </w:r>
          </w:p>
        </w:tc>
        <w:tc>
          <w:tcPr>
            <w:tcW w:type="dxa" w:w="244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원인 가설 생성</w:t>
            </w:r>
          </w:p>
        </w:tc>
        <w:tc>
          <w:tcPr>
            <w:tcW w:type="dxa" w:w="388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분석 — 가설</w:t>
            </w:r>
          </w:p>
        </w:tc>
      </w:tr>
      <w:tr>
        <w:tc>
          <w:tcPr>
            <w:tcW w:type="dxa" w:w="432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9</w:t>
            </w:r>
          </w:p>
        </w:tc>
        <w:tc>
          <w:tcPr>
            <w:tcW w:type="dxa" w:w="100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AN-09</w:t>
            </w:r>
          </w:p>
        </w:tc>
        <w:tc>
          <w:tcPr>
            <w:tcW w:type="dxa" w:w="244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이상치 / 이상점 감지</w:t>
            </w:r>
          </w:p>
        </w:tc>
        <w:tc>
          <w:tcPr>
            <w:tcW w:type="dxa" w:w="388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분석 — 데이터 이상</w:t>
            </w:r>
          </w:p>
        </w:tc>
      </w:tr>
      <w:tr>
        <w:tc>
          <w:tcPr>
            <w:tcW w:type="dxa" w:w="432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10</w:t>
            </w:r>
          </w:p>
        </w:tc>
        <w:tc>
          <w:tcPr>
            <w:tcW w:type="dxa" w:w="100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AN-10</w:t>
            </w:r>
          </w:p>
        </w:tc>
        <w:tc>
          <w:tcPr>
            <w:tcW w:type="dxa" w:w="244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요약 KPI 계산</w:t>
            </w:r>
          </w:p>
        </w:tc>
        <w:tc>
          <w:tcPr>
            <w:tcW w:type="dxa" w:w="388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분석 — KPI</w:t>
            </w:r>
          </w:p>
        </w:tc>
      </w:tr>
      <w:tr>
        <w:tc>
          <w:tcPr>
            <w:tcW w:type="dxa" w:w="432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11</w:t>
            </w:r>
          </w:p>
        </w:tc>
        <w:tc>
          <w:tcPr>
            <w:tcW w:type="dxa" w:w="100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AN-15</w:t>
            </w:r>
          </w:p>
        </w:tc>
        <w:tc>
          <w:tcPr>
            <w:tcW w:type="dxa" w:w="244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시나리오 시뮬레이션</w:t>
            </w:r>
          </w:p>
        </w:tc>
        <w:tc>
          <w:tcPr>
            <w:tcW w:type="dxa" w:w="388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분석 — What-If</w:t>
            </w:r>
          </w:p>
        </w:tc>
      </w:tr>
      <w:tr>
        <w:tc>
          <w:tcPr>
            <w:tcW w:type="dxa" w:w="432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12</w:t>
            </w:r>
          </w:p>
        </w:tc>
        <w:tc>
          <w:tcPr>
            <w:tcW w:type="dxa" w:w="100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CO-01</w:t>
            </w:r>
          </w:p>
        </w:tc>
        <w:tc>
          <w:tcPr>
            <w:tcW w:type="dxa" w:w="244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제안서 본문 작성</w:t>
            </w:r>
          </w:p>
        </w:tc>
        <w:tc>
          <w:tcPr>
            <w:tcW w:type="dxa" w:w="388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작성 — 본문</w:t>
            </w:r>
          </w:p>
        </w:tc>
      </w:tr>
      <w:tr>
        <w:tc>
          <w:tcPr>
            <w:tcW w:type="dxa" w:w="432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13</w:t>
            </w:r>
          </w:p>
        </w:tc>
        <w:tc>
          <w:tcPr>
            <w:tcW w:type="dxa" w:w="100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CO-02</w:t>
            </w:r>
          </w:p>
        </w:tc>
        <w:tc>
          <w:tcPr>
            <w:tcW w:type="dxa" w:w="244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임원 요약 작성</w:t>
            </w:r>
          </w:p>
        </w:tc>
        <w:tc>
          <w:tcPr>
            <w:tcW w:type="dxa" w:w="388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작성 — 1p 요약</w:t>
            </w:r>
          </w:p>
        </w:tc>
      </w:tr>
      <w:tr>
        <w:tc>
          <w:tcPr>
            <w:tcW w:type="dxa" w:w="432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14</w:t>
            </w:r>
          </w:p>
        </w:tc>
        <w:tc>
          <w:tcPr>
            <w:tcW w:type="dxa" w:w="100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CO-03</w:t>
            </w:r>
          </w:p>
        </w:tc>
        <w:tc>
          <w:tcPr>
            <w:tcW w:type="dxa" w:w="244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의사결정 브리프</w:t>
            </w:r>
          </w:p>
        </w:tc>
        <w:tc>
          <w:tcPr>
            <w:tcW w:type="dxa" w:w="388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작성 — 옵션 비교</w:t>
            </w:r>
          </w:p>
        </w:tc>
      </w:tr>
      <w:tr>
        <w:tc>
          <w:tcPr>
            <w:tcW w:type="dxa" w:w="432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15</w:t>
            </w:r>
          </w:p>
        </w:tc>
        <w:tc>
          <w:tcPr>
            <w:tcW w:type="dxa" w:w="100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CO-04</w:t>
            </w:r>
          </w:p>
        </w:tc>
        <w:tc>
          <w:tcPr>
            <w:tcW w:type="dxa" w:w="244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액션 플랜 작성</w:t>
            </w:r>
          </w:p>
        </w:tc>
        <w:tc>
          <w:tcPr>
            <w:tcW w:type="dxa" w:w="388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작성 — 실행</w:t>
            </w:r>
          </w:p>
        </w:tc>
      </w:tr>
      <w:tr>
        <w:tc>
          <w:tcPr>
            <w:tcW w:type="dxa" w:w="432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16</w:t>
            </w:r>
          </w:p>
        </w:tc>
        <w:tc>
          <w:tcPr>
            <w:tcW w:type="dxa" w:w="100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FM-01</w:t>
            </w:r>
          </w:p>
        </w:tc>
        <w:tc>
          <w:tcPr>
            <w:tcW w:type="dxa" w:w="244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Markdown → DOCX</w:t>
            </w:r>
          </w:p>
        </w:tc>
        <w:tc>
          <w:tcPr>
            <w:tcW w:type="dxa" w:w="388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포맷 — 회사 템플릿</w:t>
            </w:r>
          </w:p>
        </w:tc>
      </w:tr>
      <w:tr>
        <w:tc>
          <w:tcPr>
            <w:tcW w:type="dxa" w:w="432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17</w:t>
            </w:r>
          </w:p>
        </w:tc>
        <w:tc>
          <w:tcPr>
            <w:tcW w:type="dxa" w:w="100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FM-04</w:t>
            </w:r>
          </w:p>
        </w:tc>
        <w:tc>
          <w:tcPr>
            <w:tcW w:type="dxa" w:w="244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JSON → Table/CSV</w:t>
            </w:r>
          </w:p>
        </w:tc>
        <w:tc>
          <w:tcPr>
            <w:tcW w:type="dxa" w:w="388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포맷 — 표</w:t>
            </w:r>
          </w:p>
        </w:tc>
      </w:tr>
      <w:tr>
        <w:tc>
          <w:tcPr>
            <w:tcW w:type="dxa" w:w="432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18</w:t>
            </w:r>
          </w:p>
        </w:tc>
        <w:tc>
          <w:tcPr>
            <w:tcW w:type="dxa" w:w="100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FM-05</w:t>
            </w:r>
          </w:p>
        </w:tc>
        <w:tc>
          <w:tcPr>
            <w:tcW w:type="dxa" w:w="244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차트 생성</w:t>
            </w:r>
          </w:p>
        </w:tc>
        <w:tc>
          <w:tcPr>
            <w:tcW w:type="dxa" w:w="388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포맷 — 차트</w:t>
            </w:r>
          </w:p>
        </w:tc>
      </w:tr>
    </w:tbl>
    <w:p>
      <w:pPr>
        <w:spacing w:after="40" w:line="324" w:lineRule="auto"/>
      </w:pPr>
    </w:p>
    <w:p>
      <w:pPr>
        <w:spacing w:after="80" w:line="324" w:lineRule="auto"/>
      </w:pPr>
      <w:r>
        <w:rPr>
          <w:rFonts w:ascii="맑은 고딕" w:hAnsi="맑은 고딕" w:eastAsia="맑은 고딕"/>
          <w:b/>
          <w:i w:val="0"/>
          <w:color w:val="0B1F4D"/>
          <w:sz w:val="27"/>
        </w:rPr>
        <w:t>4.3 Extended (49개) — 요약</w:t>
      </w:r>
    </w:p>
    <w:p>
      <w:pPr>
        <w:spacing w:after="80" w:line="324" w:lineRule="auto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Core를 둘러싸고 ICP-2/3, 도메인 팩, Action, Multimodal로 확장. 카테고리별 수: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3324"/>
        <w:gridCol w:w="3324"/>
        <w:gridCol w:w="3324"/>
      </w:tblGrid>
      <w:tr>
        <w:tc>
          <w:tcPr>
            <w:tcW w:type="dxa" w:w="2160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카테고리</w:t>
            </w:r>
          </w:p>
        </w:tc>
        <w:tc>
          <w:tcPr>
            <w:tcW w:type="dxa" w:w="720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수</w:t>
            </w:r>
          </w:p>
        </w:tc>
        <w:tc>
          <w:tcPr>
            <w:tcW w:type="dxa" w:w="6336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대표 ID</w:t>
            </w:r>
          </w:p>
        </w:tc>
      </w:tr>
      <w:tr>
        <w:tc>
          <w:tcPr>
            <w:tcW w:type="dxa" w:w="216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Extract</w:t>
            </w:r>
          </w:p>
        </w:tc>
        <w:tc>
          <w:tcPr>
            <w:tcW w:type="dxa" w:w="72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13</w:t>
            </w:r>
          </w:p>
        </w:tc>
        <w:tc>
          <w:tcPr>
            <w:tcW w:type="dxa" w:w="633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EX-03·04·05·06·07·09·10·12·13·14·15·16·17</w:t>
            </w:r>
          </w:p>
        </w:tc>
      </w:tr>
      <w:tr>
        <w:tc>
          <w:tcPr>
            <w:tcW w:type="dxa" w:w="216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Classify</w:t>
            </w:r>
          </w:p>
        </w:tc>
        <w:tc>
          <w:tcPr>
            <w:tcW w:type="dxa" w:w="72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7</w:t>
            </w:r>
          </w:p>
        </w:tc>
        <w:tc>
          <w:tcPr>
            <w:tcW w:type="dxa" w:w="633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CL-02·03·04·05·06·07·09</w:t>
            </w:r>
          </w:p>
        </w:tc>
      </w:tr>
      <w:tr>
        <w:tc>
          <w:tcPr>
            <w:tcW w:type="dxa" w:w="216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Analyze</w:t>
            </w:r>
          </w:p>
        </w:tc>
        <w:tc>
          <w:tcPr>
            <w:tcW w:type="dxa" w:w="72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13</w:t>
            </w:r>
          </w:p>
        </w:tc>
        <w:tc>
          <w:tcPr>
            <w:tcW w:type="dxa" w:w="633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AN-03·04·05·06·07·08·11·12·13·14·16·17·18</w:t>
            </w:r>
          </w:p>
        </w:tc>
      </w:tr>
      <w:tr>
        <w:tc>
          <w:tcPr>
            <w:tcW w:type="dxa" w:w="216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Compose</w:t>
            </w:r>
          </w:p>
        </w:tc>
        <w:tc>
          <w:tcPr>
            <w:tcW w:type="dxa" w:w="72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8</w:t>
            </w:r>
          </w:p>
        </w:tc>
        <w:tc>
          <w:tcPr>
            <w:tcW w:type="dxa" w:w="633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CO-05·06·07·08·09·10·11</w:t>
            </w:r>
          </w:p>
        </w:tc>
      </w:tr>
      <w:tr>
        <w:tc>
          <w:tcPr>
            <w:tcW w:type="dxa" w:w="216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Format</w:t>
            </w:r>
          </w:p>
        </w:tc>
        <w:tc>
          <w:tcPr>
            <w:tcW w:type="dxa" w:w="72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5</w:t>
            </w:r>
          </w:p>
        </w:tc>
        <w:tc>
          <w:tcPr>
            <w:tcW w:type="dxa" w:w="633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FM-02·03·06·07·08</w:t>
            </w:r>
          </w:p>
        </w:tc>
      </w:tr>
      <w:tr>
        <w:tc>
          <w:tcPr>
            <w:tcW w:type="dxa" w:w="216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Action</w:t>
            </w:r>
          </w:p>
        </w:tc>
        <w:tc>
          <w:tcPr>
            <w:tcW w:type="dxa" w:w="72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10</w:t>
            </w:r>
          </w:p>
        </w:tc>
        <w:tc>
          <w:tcPr>
            <w:tcW w:type="dxa" w:w="633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AC-01~10</w:t>
            </w:r>
          </w:p>
        </w:tc>
      </w:tr>
      <w:tr>
        <w:tc>
          <w:tcPr>
            <w:tcW w:type="dxa" w:w="216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Multimodal</w:t>
            </w:r>
          </w:p>
        </w:tc>
        <w:tc>
          <w:tcPr>
            <w:tcW w:type="dxa" w:w="72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8</w:t>
            </w:r>
          </w:p>
        </w:tc>
        <w:tc>
          <w:tcPr>
            <w:tcW w:type="dxa" w:w="633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MM-01~08</w:t>
            </w:r>
          </w:p>
        </w:tc>
      </w:tr>
      <w:tr>
        <w:tc>
          <w:tcPr>
            <w:tcW w:type="dxa" w:w="216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Domain Pack</w:t>
            </w:r>
          </w:p>
        </w:tc>
        <w:tc>
          <w:tcPr>
            <w:tcW w:type="dxa" w:w="72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4</w:t>
            </w:r>
          </w:p>
        </w:tc>
        <w:tc>
          <w:tcPr>
            <w:tcW w:type="dxa" w:w="633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DP-LEGAL-01 / TAX-01 / HEALTH-01 / MFG-01</w:t>
            </w:r>
          </w:p>
        </w:tc>
      </w:tr>
    </w:tbl>
    <w:p>
      <w:pPr>
        <w:spacing w:after="40" w:line="324" w:lineRule="auto"/>
      </w:pPr>
    </w:p>
    <w:p>
      <w:pPr>
        <w:spacing w:after="80" w:line="324" w:lineRule="auto"/>
      </w:pPr>
      <w:r>
        <w:rPr>
          <w:rFonts w:ascii="맑은 고딕" w:hAnsi="맑은 고딕" w:eastAsia="맑은 고딕"/>
          <w:b/>
          <w:i w:val="0"/>
          <w:color w:val="0B1F4D"/>
          <w:sz w:val="27"/>
        </w:rPr>
        <w:t>4.4 Lab (18개) — 실험</w:t>
      </w:r>
    </w:p>
    <w:p>
      <w:pPr>
        <w:spacing w:after="80" w:line="324" w:lineRule="auto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Core / Extended에 들지 않은 Skill 후보. 운영 SLA 없음. 분기 1회 평가해 승급/폐기.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972"/>
      </w:tblGrid>
      <w:tr>
        <w:tc>
          <w:tcPr>
            <w:tcW w:type="dxa" w:w="9972"/>
            <w:shd w:val="clear" w:color="auto" w:fill="F1F4FB"/>
            <w:tcBorders>
              <w:left w:val="single" w:sz="24" w:color="0B1F4D"/>
              <w:top w:val="single" w:sz="4" w:color="CCD3E0"/>
              <w:right w:val="single" w:sz="4" w:color="CCD3E0"/>
              <w:bottom w:val="single" w:sz="4" w:color="CCD3E0"/>
            </w:tcBorders>
          </w:tcPr>
          <w:p>
            <w:pPr>
              <w:spacing w:after="40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Tier 운영 룰</w:t>
            </w:r>
          </w:p>
          <w:p>
            <w:pPr>
              <w:spacing w:after="0"/>
            </w:pPr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(1) Core 변경은 분기 1회 정기 회의에서만. (2) Extended → Core 승급은 골든세트 50개 + 회귀 자동화 통과 시. (3) Lab은 자유. 단, 외부 고객에게 "Lab" 명시 필수.</w:t>
            </w:r>
          </w:p>
        </w:tc>
      </w:tr>
    </w:tbl>
    <w:p>
      <w:pPr>
        <w:spacing w:after="80" w:line="324" w:lineRule="auto"/>
      </w:pPr>
    </w:p>
    <w:p>
      <w:r>
        <w:br w:type="page"/>
      </w:r>
    </w:p>
    <w:p>
      <w:pPr>
        <w:spacing w:after="120" w:line="324" w:lineRule="auto" w:before="280"/>
        <w:pBdr>
          <w:bottom w:val="single" w:sz="12" w:color="B88A00" w:space="4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5. 에이전트 토폴로지 (★ M-01 정정)</w:t>
      </w:r>
    </w:p>
    <w:p>
      <w:pPr>
        <w:spacing w:after="40" w:line="324" w:lineRule="auto"/>
        <w:ind w:left="283"/>
      </w:pPr>
      <w:r>
        <w:rPr>
          <w:rFonts w:ascii="맑은 고딕" w:hAnsi="맑은 고딕" w:eastAsia="맑은 고딕"/>
          <w:b/>
          <w:i w:val="0"/>
          <w:color w:val="C0292A"/>
          <w:sz w:val="20"/>
        </w:rPr>
        <w:t xml:space="preserve">[v3.2 정정] </w:t>
      </w:r>
      <w:r>
        <w:rPr>
          <w:rFonts w:ascii="맑은 고딕" w:hAnsi="맑은 고딕" w:eastAsia="맑은 고딕"/>
          <w:b w:val="0"/>
          <w:i w:val="0"/>
          <w:color w:val="101A33"/>
          <w:sz w:val="20"/>
        </w:rPr>
        <w:t>v3.1의 9개 에이전트 → MVP 단계는 4개로 통합 운영. 확장 에이전트는 Beta 단계에서 분리.</w:t>
      </w:r>
    </w:p>
    <w:p>
      <w:pPr>
        <w:spacing w:after="80" w:line="324" w:lineRule="auto"/>
      </w:pPr>
      <w:r>
        <w:rPr>
          <w:rFonts w:ascii="맑은 고딕" w:hAnsi="맑은 고딕" w:eastAsia="맑은 고딕"/>
          <w:b/>
          <w:i w:val="0"/>
          <w:color w:val="0B1F4D"/>
          <w:sz w:val="27"/>
        </w:rPr>
        <w:t>5.1 MVP 에이전트 (4개)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2493"/>
        <w:gridCol w:w="2493"/>
        <w:gridCol w:w="2493"/>
        <w:gridCol w:w="2493"/>
      </w:tblGrid>
      <w:tr>
        <w:tc>
          <w:tcPr>
            <w:tcW w:type="dxa" w:w="1008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#</w:t>
            </w:r>
          </w:p>
        </w:tc>
        <w:tc>
          <w:tcPr>
            <w:tcW w:type="dxa" w:w="2592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Agent</w:t>
            </w:r>
          </w:p>
        </w:tc>
        <w:tc>
          <w:tcPr>
            <w:tcW w:type="dxa" w:w="1440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Layer 통합</w:t>
            </w:r>
          </w:p>
        </w:tc>
        <w:tc>
          <w:tcPr>
            <w:tcW w:type="dxa" w:w="4320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핵심 책임</w:t>
            </w:r>
          </w:p>
        </w:tc>
      </w:tr>
      <w:tr>
        <w:tc>
          <w:tcPr>
            <w:tcW w:type="dxa" w:w="100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AG-MVP-1</w:t>
            </w:r>
          </w:p>
        </w:tc>
        <w:tc>
          <w:tcPr>
            <w:tcW w:type="dxa" w:w="2592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Intake &amp; Mapping Agent</w:t>
            </w:r>
          </w:p>
        </w:tc>
        <w:tc>
          <w:tcPr>
            <w:tcW w:type="dxa" w:w="144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L1+L2+L3</w:t>
            </w:r>
          </w:p>
        </w:tc>
        <w:tc>
          <w:tcPr>
            <w:tcW w:type="dxa" w:w="432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고객 인터뷰·설문 수집 + 목표→Skill 매핑 + 데이터 요청을 한 에이전트에서 처리</w:t>
            </w:r>
          </w:p>
        </w:tc>
      </w:tr>
      <w:tr>
        <w:tc>
          <w:tcPr>
            <w:tcW w:type="dxa" w:w="100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AG-MVP-2</w:t>
            </w:r>
          </w:p>
        </w:tc>
        <w:tc>
          <w:tcPr>
            <w:tcW w:type="dxa" w:w="2592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Analysis Agent</w:t>
            </w:r>
          </w:p>
        </w:tc>
        <w:tc>
          <w:tcPr>
            <w:tcW w:type="dxa" w:w="144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L4</w:t>
            </w:r>
          </w:p>
        </w:tc>
        <w:tc>
          <w:tcPr>
            <w:tcW w:type="dxa" w:w="432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RAG·통계·이상감지·인사이트 후보</w:t>
            </w:r>
          </w:p>
        </w:tc>
      </w:tr>
      <w:tr>
        <w:tc>
          <w:tcPr>
            <w:tcW w:type="dxa" w:w="100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AG-MVP-3</w:t>
            </w:r>
          </w:p>
        </w:tc>
        <w:tc>
          <w:tcPr>
            <w:tcW w:type="dxa" w:w="2592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Planning Agent</w:t>
            </w:r>
          </w:p>
        </w:tc>
        <w:tc>
          <w:tcPr>
            <w:tcW w:type="dxa" w:w="144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L5</w:t>
            </w:r>
          </w:p>
        </w:tc>
        <w:tc>
          <w:tcPr>
            <w:tcW w:type="dxa" w:w="432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액션 플랜 + 옵션 비교 + 리스크 등록</w:t>
            </w:r>
          </w:p>
        </w:tc>
      </w:tr>
      <w:tr>
        <w:tc>
          <w:tcPr>
            <w:tcW w:type="dxa" w:w="100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AG-MVP-4</w:t>
            </w:r>
          </w:p>
        </w:tc>
        <w:tc>
          <w:tcPr>
            <w:tcW w:type="dxa" w:w="2592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Builder Agent</w:t>
            </w:r>
          </w:p>
        </w:tc>
        <w:tc>
          <w:tcPr>
            <w:tcW w:type="dxa" w:w="144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L6</w:t>
            </w:r>
          </w:p>
        </w:tc>
        <w:tc>
          <w:tcPr>
            <w:tcW w:type="dxa" w:w="432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Skill·Agent 조립 + 배포 + 런북</w:t>
            </w:r>
          </w:p>
        </w:tc>
      </w:tr>
    </w:tbl>
    <w:p>
      <w:pPr>
        <w:spacing w:after="40" w:line="324" w:lineRule="auto"/>
      </w:pPr>
    </w:p>
    <w:p>
      <w:pPr>
        <w:spacing w:after="80" w:line="324" w:lineRule="auto"/>
      </w:pPr>
      <w:r>
        <w:rPr>
          <w:rFonts w:ascii="맑은 고딕" w:hAnsi="맑은 고딕" w:eastAsia="맑은 고딕"/>
          <w:b/>
          <w:i w:val="0"/>
          <w:color w:val="0B1F4D"/>
          <w:sz w:val="27"/>
        </w:rPr>
        <w:t>5.2 확장 에이전트 (Beta 이후 분리)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2493"/>
        <w:gridCol w:w="2493"/>
        <w:gridCol w:w="2493"/>
        <w:gridCol w:w="2493"/>
      </w:tblGrid>
      <w:tr>
        <w:tc>
          <w:tcPr>
            <w:tcW w:type="dxa" w:w="720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#</w:t>
            </w:r>
          </w:p>
        </w:tc>
        <w:tc>
          <w:tcPr>
            <w:tcW w:type="dxa" w:w="2880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Agent</w:t>
            </w:r>
          </w:p>
        </w:tc>
        <w:tc>
          <w:tcPr>
            <w:tcW w:type="dxa" w:w="1008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Stage</w:t>
            </w:r>
          </w:p>
        </w:tc>
        <w:tc>
          <w:tcPr>
            <w:tcW w:type="dxa" w:w="4752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역할</w:t>
            </w:r>
          </w:p>
        </w:tc>
      </w:tr>
      <w:tr>
        <w:tc>
          <w:tcPr>
            <w:tcW w:type="dxa" w:w="72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AG-X1</w:t>
            </w:r>
          </w:p>
        </w:tc>
        <w:tc>
          <w:tcPr>
            <w:tcW w:type="dxa" w:w="288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Data Analyst Agent</w:t>
            </w:r>
          </w:p>
        </w:tc>
        <w:tc>
          <w:tcPr>
            <w:tcW w:type="dxa" w:w="100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Beta</w:t>
            </w:r>
          </w:p>
        </w:tc>
        <w:tc>
          <w:tcPr>
            <w:tcW w:type="dxa" w:w="4752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SQL/API/Sheets 직접 분석</w:t>
            </w:r>
          </w:p>
        </w:tc>
      </w:tr>
      <w:tr>
        <w:tc>
          <w:tcPr>
            <w:tcW w:type="dxa" w:w="72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AG-X2</w:t>
            </w:r>
          </w:p>
        </w:tc>
        <w:tc>
          <w:tcPr>
            <w:tcW w:type="dxa" w:w="288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Operator Agent</w:t>
            </w:r>
          </w:p>
        </w:tc>
        <w:tc>
          <w:tcPr>
            <w:tcW w:type="dxa" w:w="100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Beta</w:t>
            </w:r>
          </w:p>
        </w:tc>
        <w:tc>
          <w:tcPr>
            <w:tcW w:type="dxa" w:w="4752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외부 시스템 액션 수행</w:t>
            </w:r>
          </w:p>
        </w:tc>
      </w:tr>
      <w:tr>
        <w:tc>
          <w:tcPr>
            <w:tcW w:type="dxa" w:w="72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AG-X3</w:t>
            </w:r>
          </w:p>
        </w:tc>
        <w:tc>
          <w:tcPr>
            <w:tcW w:type="dxa" w:w="288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Insight Agent</w:t>
            </w:r>
          </w:p>
        </w:tc>
        <w:tc>
          <w:tcPr>
            <w:tcW w:type="dxa" w:w="100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GA</w:t>
            </w:r>
          </w:p>
        </w:tc>
        <w:tc>
          <w:tcPr>
            <w:tcW w:type="dxa" w:w="4752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장기 추세·전략 인사이트</w:t>
            </w:r>
          </w:p>
        </w:tc>
      </w:tr>
      <w:tr>
        <w:tc>
          <w:tcPr>
            <w:tcW w:type="dxa" w:w="72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AG-X4</w:t>
            </w:r>
          </w:p>
        </w:tc>
        <w:tc>
          <w:tcPr>
            <w:tcW w:type="dxa" w:w="288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Goal Mapper (분리)</w:t>
            </w:r>
          </w:p>
        </w:tc>
        <w:tc>
          <w:tcPr>
            <w:tcW w:type="dxa" w:w="100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Beta</w:t>
            </w:r>
          </w:p>
        </w:tc>
        <w:tc>
          <w:tcPr>
            <w:tcW w:type="dxa" w:w="4752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MVP에 통합되었던 매핑을 분리·정교화</w:t>
            </w:r>
          </w:p>
        </w:tc>
      </w:tr>
      <w:tr>
        <w:tc>
          <w:tcPr>
            <w:tcW w:type="dxa" w:w="72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AG-X5</w:t>
            </w:r>
          </w:p>
        </w:tc>
        <w:tc>
          <w:tcPr>
            <w:tcW w:type="dxa" w:w="288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Data Request (분리)</w:t>
            </w:r>
          </w:p>
        </w:tc>
        <w:tc>
          <w:tcPr>
            <w:tcW w:type="dxa" w:w="100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Beta</w:t>
            </w:r>
          </w:p>
        </w:tc>
        <w:tc>
          <w:tcPr>
            <w:tcW w:type="dxa" w:w="4752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MVP에 통합되었던 데이터 요청을 분리</w:t>
            </w:r>
          </w:p>
        </w:tc>
      </w:tr>
    </w:tbl>
    <w:p>
      <w:pPr>
        <w:spacing w:after="40" w:line="324" w:lineRule="auto"/>
      </w:pPr>
    </w:p>
    <w:tbl>
      <w:tblPr>
        <w:tblW w:type="auto" w:w="0"/>
        <w:tblLook w:firstColumn="1" w:firstRow="1" w:lastColumn="0" w:lastRow="0" w:noHBand="0" w:noVBand="1" w:val="04A0"/>
      </w:tblPr>
      <w:tblGrid>
        <w:gridCol w:w="9972"/>
      </w:tblGrid>
      <w:tr>
        <w:tc>
          <w:tcPr>
            <w:tcW w:type="dxa" w:w="9972"/>
            <w:shd w:val="clear" w:color="auto" w:fill="F1F4FB"/>
            <w:tcBorders>
              <w:left w:val="single" w:sz="24" w:color="0B1F4D"/>
              <w:top w:val="single" w:sz="4" w:color="CCD3E0"/>
              <w:right w:val="single" w:sz="4" w:color="CCD3E0"/>
              <w:bottom w:val="single" w:sz="4" w:color="CCD3E0"/>
            </w:tcBorders>
          </w:tcPr>
          <w:p>
            <w:pPr>
              <w:spacing w:after="40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왜 통합인가</w:t>
            </w:r>
          </w:p>
          <w:p>
            <w:pPr>
              <w:spacing w:after="0"/>
            </w:pPr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MVP 단계에서 9개 에이전트를 별도 운영하면 모니터링·권한·로그·장애 대응이 9배. 엔지니어 5명에게는 과부담. Pilot 3社 검증으로 어떤 분리가 진짜 가치 있는지 확인한 후 Beta에서 단계적 분리.</w:t>
            </w:r>
          </w:p>
        </w:tc>
      </w:tr>
    </w:tbl>
    <w:p>
      <w:pPr>
        <w:spacing w:after="80" w:line="324" w:lineRule="auto"/>
      </w:pPr>
    </w:p>
    <w:p>
      <w:r>
        <w:br w:type="page"/>
      </w:r>
    </w:p>
    <w:p>
      <w:pPr>
        <w:spacing w:after="120" w:line="324" w:lineRule="auto" w:before="280"/>
        <w:pBdr>
          <w:bottom w:val="single" w:sz="12" w:color="B88A00" w:space="4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6. Layer 7 Governance — Phase 1 / Phase 2 (★ C-03 정정)</w:t>
      </w:r>
    </w:p>
    <w:p>
      <w:pPr>
        <w:spacing w:after="40" w:line="324" w:lineRule="auto"/>
        <w:ind w:left="283"/>
      </w:pPr>
      <w:r>
        <w:rPr>
          <w:rFonts w:ascii="맑은 고딕" w:hAnsi="맑은 고딕" w:eastAsia="맑은 고딕"/>
          <w:b/>
          <w:i w:val="0"/>
          <w:color w:val="C0292A"/>
          <w:sz w:val="20"/>
        </w:rPr>
        <w:t xml:space="preserve">[v3.2 정정] </w:t>
      </w:r>
      <w:r>
        <w:rPr>
          <w:rFonts w:ascii="맑은 고딕" w:hAnsi="맑은 고딕" w:eastAsia="맑은 고딕"/>
          <w:b w:val="0"/>
          <w:i w:val="0"/>
          <w:color w:val="101A33"/>
          <w:sz w:val="20"/>
        </w:rPr>
        <w:t>v3.1의 "4주 안에 8 모듈 일괄 구현" → "Phase 1 (4주, 4 모듈) + Phase 2 (4주 추가, 4 모듈)" 로 분리. Phase 1 완료 = Pilot 시작 가능 / Phase 2 완료 = 정식 출시 가능.</w:t>
      </w:r>
    </w:p>
    <w:p>
      <w:pPr>
        <w:spacing w:after="80" w:line="324" w:lineRule="auto"/>
      </w:pPr>
      <w:r>
        <w:rPr>
          <w:rFonts w:ascii="맑은 고딕" w:hAnsi="맑은 고딕" w:eastAsia="맑은 고딕"/>
          <w:b/>
          <w:i w:val="0"/>
          <w:color w:val="0B1F4D"/>
          <w:sz w:val="27"/>
        </w:rPr>
        <w:t>6.1 Phase 1 (M0~M4 · 4주) — Pilot 가능 최소 집합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2493"/>
        <w:gridCol w:w="2493"/>
        <w:gridCol w:w="2493"/>
        <w:gridCol w:w="2493"/>
      </w:tblGrid>
      <w:tr>
        <w:tc>
          <w:tcPr>
            <w:tcW w:type="dxa" w:w="576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#</w:t>
            </w:r>
          </w:p>
        </w:tc>
        <w:tc>
          <w:tcPr>
            <w:tcW w:type="dxa" w:w="2160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Module</w:t>
            </w:r>
          </w:p>
        </w:tc>
        <w:tc>
          <w:tcPr>
            <w:tcW w:type="dxa" w:w="2880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역할</w:t>
            </w:r>
          </w:p>
        </w:tc>
        <w:tc>
          <w:tcPr>
            <w:tcW w:type="dxa" w:w="3600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Phase 1에 포함된 이유</w:t>
            </w:r>
          </w:p>
        </w:tc>
      </w:tr>
      <w:tr>
        <w:tc>
          <w:tcPr>
            <w:tcW w:type="dxa" w:w="57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M2</w:t>
            </w:r>
          </w:p>
        </w:tc>
        <w:tc>
          <w:tcPr>
            <w:tcW w:type="dxa" w:w="216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Injection Scanner</w:t>
            </w:r>
          </w:p>
        </w:tc>
        <w:tc>
          <w:tcPr>
            <w:tcW w:type="dxa" w:w="288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외부 입력의 프롬프트 인젝션 검사</w:t>
            </w:r>
          </w:p>
        </w:tc>
        <w:tc>
          <w:tcPr>
            <w:tcW w:type="dxa" w:w="360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Pilot 시작 즉시 위협 노출</w:t>
            </w:r>
          </w:p>
        </w:tc>
      </w:tr>
      <w:tr>
        <w:tc>
          <w:tcPr>
            <w:tcW w:type="dxa" w:w="57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M3</w:t>
            </w:r>
          </w:p>
        </w:tc>
        <w:tc>
          <w:tcPr>
            <w:tcW w:type="dxa" w:w="216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Tool Allowlist</w:t>
            </w:r>
          </w:p>
        </w:tc>
        <w:tc>
          <w:tcPr>
            <w:tcW w:type="dxa" w:w="288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Skill·테이블·엔드포인트 단위 권한 화이트리스트</w:t>
            </w:r>
          </w:p>
        </w:tc>
        <w:tc>
          <w:tcPr>
            <w:tcW w:type="dxa" w:w="360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Pilot 데이터 격리 필수</w:t>
            </w:r>
          </w:p>
        </w:tc>
      </w:tr>
      <w:tr>
        <w:tc>
          <w:tcPr>
            <w:tcW w:type="dxa" w:w="57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M5</w:t>
            </w:r>
          </w:p>
        </w:tc>
        <w:tc>
          <w:tcPr>
            <w:tcW w:type="dxa" w:w="216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PII Redaction</w:t>
            </w:r>
          </w:p>
        </w:tc>
        <w:tc>
          <w:tcPr>
            <w:tcW w:type="dxa" w:w="288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개인정보 자동 마스킹</w:t>
            </w:r>
          </w:p>
        </w:tc>
        <w:tc>
          <w:tcPr>
            <w:tcW w:type="dxa" w:w="360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법적 리스크가 가장 큰 영역</w:t>
            </w:r>
          </w:p>
        </w:tc>
      </w:tr>
      <w:tr>
        <w:tc>
          <w:tcPr>
            <w:tcW w:type="dxa" w:w="57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M8</w:t>
            </w:r>
          </w:p>
        </w:tc>
        <w:tc>
          <w:tcPr>
            <w:tcW w:type="dxa" w:w="216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Audit Log</w:t>
            </w:r>
          </w:p>
        </w:tc>
        <w:tc>
          <w:tcPr>
            <w:tcW w:type="dxa" w:w="288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모든 호출 로그</w:t>
            </w:r>
          </w:p>
        </w:tc>
        <w:tc>
          <w:tcPr>
            <w:tcW w:type="dxa" w:w="360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사후 검증·사고 대응의 기본</w:t>
            </w:r>
          </w:p>
        </w:tc>
      </w:tr>
    </w:tbl>
    <w:p>
      <w:pPr>
        <w:spacing w:after="40" w:line="324" w:lineRule="auto"/>
      </w:pPr>
    </w:p>
    <w:p>
      <w:pPr>
        <w:spacing w:after="80" w:line="324" w:lineRule="auto"/>
      </w:pPr>
      <w:r>
        <w:rPr>
          <w:rFonts w:ascii="맑은 고딕" w:hAnsi="맑은 고딕" w:eastAsia="맑은 고딕"/>
          <w:b/>
          <w:i w:val="0"/>
          <w:color w:val="0B1F4D"/>
          <w:sz w:val="27"/>
        </w:rPr>
        <w:t>6.2 Phase 2 (M4~M8 · 추가 4주) — 정식 출시 집합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2493"/>
        <w:gridCol w:w="2493"/>
        <w:gridCol w:w="2493"/>
        <w:gridCol w:w="2493"/>
      </w:tblGrid>
      <w:tr>
        <w:tc>
          <w:tcPr>
            <w:tcW w:type="dxa" w:w="576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#</w:t>
            </w:r>
          </w:p>
        </w:tc>
        <w:tc>
          <w:tcPr>
            <w:tcW w:type="dxa" w:w="2160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Module</w:t>
            </w:r>
          </w:p>
        </w:tc>
        <w:tc>
          <w:tcPr>
            <w:tcW w:type="dxa" w:w="2880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역할</w:t>
            </w:r>
          </w:p>
        </w:tc>
        <w:tc>
          <w:tcPr>
            <w:tcW w:type="dxa" w:w="3600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Phase 2 사유</w:t>
            </w:r>
          </w:p>
        </w:tc>
      </w:tr>
      <w:tr>
        <w:tc>
          <w:tcPr>
            <w:tcW w:type="dxa" w:w="57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M1</w:t>
            </w:r>
          </w:p>
        </w:tc>
        <w:tc>
          <w:tcPr>
            <w:tcW w:type="dxa" w:w="216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Channel Separation</w:t>
            </w:r>
          </w:p>
        </w:tc>
        <w:tc>
          <w:tcPr>
            <w:tcW w:type="dxa" w:w="288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System/Tool/User 채널 분리</w:t>
            </w:r>
          </w:p>
        </w:tc>
        <w:tc>
          <w:tcPr>
            <w:tcW w:type="dxa" w:w="360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Pilot 검증 후 정착</w:t>
            </w:r>
          </w:p>
        </w:tc>
      </w:tr>
      <w:tr>
        <w:tc>
          <w:tcPr>
            <w:tcW w:type="dxa" w:w="57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M4</w:t>
            </w:r>
          </w:p>
        </w:tc>
        <w:tc>
          <w:tcPr>
            <w:tcW w:type="dxa" w:w="216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2-Step Confirm</w:t>
            </w:r>
          </w:p>
        </w:tc>
        <w:tc>
          <w:tcPr>
            <w:tcW w:type="dxa" w:w="288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외부 변경 액션 사람 확인</w:t>
            </w:r>
          </w:p>
        </w:tc>
        <w:tc>
          <w:tcPr>
            <w:tcW w:type="dxa" w:w="360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Action 스킬 (AC-*) 사용 시점에 필요</w:t>
            </w:r>
          </w:p>
        </w:tc>
      </w:tr>
      <w:tr>
        <w:tc>
          <w:tcPr>
            <w:tcW w:type="dxa" w:w="57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M6</w:t>
            </w:r>
          </w:p>
        </w:tc>
        <w:tc>
          <w:tcPr>
            <w:tcW w:type="dxa" w:w="216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HITL / Tenant Isolation</w:t>
            </w:r>
          </w:p>
        </w:tc>
        <w:tc>
          <w:tcPr>
            <w:tcW w:type="dxa" w:w="288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사람 승인 + 테넌트 격리</w:t>
            </w:r>
          </w:p>
        </w:tc>
        <w:tc>
          <w:tcPr>
            <w:tcW w:type="dxa" w:w="360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다중 고객 시점에 요구</w:t>
            </w:r>
          </w:p>
        </w:tc>
      </w:tr>
      <w:tr>
        <w:tc>
          <w:tcPr>
            <w:tcW w:type="dxa" w:w="57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M7</w:t>
            </w:r>
          </w:p>
        </w:tc>
        <w:tc>
          <w:tcPr>
            <w:tcW w:type="dxa" w:w="216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Execution Limits</w:t>
            </w:r>
          </w:p>
        </w:tc>
        <w:tc>
          <w:tcPr>
            <w:tcW w:type="dxa" w:w="288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호출수·토큰·바이트 한도</w:t>
            </w:r>
          </w:p>
        </w:tc>
        <w:tc>
          <w:tcPr>
            <w:tcW w:type="dxa" w:w="360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비용 최적화 시점</w:t>
            </w:r>
          </w:p>
        </w:tc>
      </w:tr>
    </w:tbl>
    <w:p>
      <w:pPr>
        <w:spacing w:after="40" w:line="324" w:lineRule="auto"/>
      </w:pPr>
    </w:p>
    <w:p>
      <w:pPr>
        <w:spacing w:after="80" w:line="324" w:lineRule="auto"/>
      </w:pPr>
      <w:r>
        <w:rPr>
          <w:rFonts w:ascii="맑은 고딕" w:hAnsi="맑은 고딕" w:eastAsia="맑은 고딕"/>
          <w:b/>
          <w:i w:val="0"/>
          <w:color w:val="0B1F4D"/>
          <w:sz w:val="27"/>
        </w:rPr>
        <w:t>6.3 검증 일정 (Phase 1 기준)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3324"/>
        <w:gridCol w:w="3324"/>
        <w:gridCol w:w="3324"/>
      </w:tblGrid>
      <w:tr>
        <w:tc>
          <w:tcPr>
            <w:tcW w:type="dxa" w:w="1008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주차</w:t>
            </w:r>
          </w:p>
        </w:tc>
        <w:tc>
          <w:tcPr>
            <w:tcW w:type="dxa" w:w="6480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활동</w:t>
            </w:r>
          </w:p>
        </w:tc>
        <w:tc>
          <w:tcPr>
            <w:tcW w:type="dxa" w:w="1728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책임</w:t>
            </w:r>
          </w:p>
        </w:tc>
      </w:tr>
      <w:tr>
        <w:tc>
          <w:tcPr>
            <w:tcW w:type="dxa" w:w="100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W1</w:t>
            </w:r>
          </w:p>
        </w:tc>
        <w:tc>
          <w:tcPr>
            <w:tcW w:type="dxa" w:w="648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M2 spike (1주 PoC) + M3 정책 모델링</w:t>
            </w:r>
          </w:p>
        </w:tc>
        <w:tc>
          <w:tcPr>
            <w:tcW w:type="dxa" w:w="172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Platform</w:t>
            </w:r>
          </w:p>
        </w:tc>
      </w:tr>
      <w:tr>
        <w:tc>
          <w:tcPr>
            <w:tcW w:type="dxa" w:w="100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W2</w:t>
            </w:r>
          </w:p>
        </w:tc>
        <w:tc>
          <w:tcPr>
            <w:tcW w:type="dxa" w:w="648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M5 (PII) 적용 + M8 Audit 스키마</w:t>
            </w:r>
          </w:p>
        </w:tc>
        <w:tc>
          <w:tcPr>
            <w:tcW w:type="dxa" w:w="172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Platform</w:t>
            </w:r>
          </w:p>
        </w:tc>
      </w:tr>
      <w:tr>
        <w:tc>
          <w:tcPr>
            <w:tcW w:type="dxa" w:w="100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W3</w:t>
            </w:r>
          </w:p>
        </w:tc>
        <w:tc>
          <w:tcPr>
            <w:tcW w:type="dxa" w:w="648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Phase 1 4 모듈 통합 + 내부 부하 테스트</w:t>
            </w:r>
          </w:p>
        </w:tc>
        <w:tc>
          <w:tcPr>
            <w:tcW w:type="dxa" w:w="172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Platform + QA</w:t>
            </w:r>
          </w:p>
        </w:tc>
      </w:tr>
      <w:tr>
        <w:tc>
          <w:tcPr>
            <w:tcW w:type="dxa" w:w="100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W4</w:t>
            </w:r>
          </w:p>
        </w:tc>
        <w:tc>
          <w:tcPr>
            <w:tcW w:type="dxa" w:w="648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문서화 + 외부 보안 검토 트리거</w:t>
            </w:r>
          </w:p>
        </w:tc>
        <w:tc>
          <w:tcPr>
            <w:tcW w:type="dxa" w:w="172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CTO + 법무</w:t>
            </w:r>
          </w:p>
        </w:tc>
      </w:tr>
      <w:tr>
        <w:tc>
          <w:tcPr>
            <w:tcW w:type="dxa" w:w="100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W5~W8</w:t>
            </w:r>
          </w:p>
        </w:tc>
        <w:tc>
          <w:tcPr>
            <w:tcW w:type="dxa" w:w="648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외부 보안 컨설팅 + 침투 테스트 + Phase 2 시작</w:t>
            </w:r>
          </w:p>
        </w:tc>
        <w:tc>
          <w:tcPr>
            <w:tcW w:type="dxa" w:w="172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CISO 대행</w:t>
            </w:r>
          </w:p>
        </w:tc>
      </w:tr>
    </w:tbl>
    <w:p>
      <w:pPr>
        <w:spacing w:after="40" w:line="324" w:lineRule="auto"/>
      </w:pPr>
    </w:p>
    <w:tbl>
      <w:tblPr>
        <w:tblW w:type="auto" w:w="0"/>
        <w:tblLook w:firstColumn="1" w:firstRow="1" w:lastColumn="0" w:lastRow="0" w:noHBand="0" w:noVBand="1" w:val="04A0"/>
      </w:tblPr>
      <w:tblGrid>
        <w:gridCol w:w="9972"/>
      </w:tblGrid>
      <w:tr>
        <w:tc>
          <w:tcPr>
            <w:tcW w:type="dxa" w:w="9972"/>
            <w:shd w:val="clear" w:color="auto" w:fill="F1F4FB"/>
            <w:tcBorders>
              <w:left w:val="single" w:sz="24" w:color="0B1F4D"/>
              <w:top w:val="single" w:sz="4" w:color="CCD3E0"/>
              <w:right w:val="single" w:sz="4" w:color="CCD3E0"/>
              <w:bottom w:val="single" w:sz="4" w:color="CCD3E0"/>
            </w:tcBorders>
          </w:tcPr>
          <w:p>
            <w:pPr>
              <w:spacing w:after="40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Pilot 시작 게이트</w:t>
            </w:r>
          </w:p>
          <w:p>
            <w:pPr>
              <w:spacing w:after="0"/>
            </w:pPr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Phase 1 4 모듈 (M2·M3·M5·M8) 완료 + 외부 보안 검토 1회 = Pilot 시작 가능 게이트. 이 게이트 통과 전에 Pilot 계약 체결 금지 (단, LOI/MOU 단계는 가능).</w:t>
            </w:r>
          </w:p>
        </w:tc>
      </w:tr>
    </w:tbl>
    <w:p>
      <w:pPr>
        <w:spacing w:after="80" w:line="324" w:lineRule="auto"/>
      </w:pPr>
    </w:p>
    <w:p>
      <w:r>
        <w:br w:type="page"/>
      </w:r>
    </w:p>
    <w:p>
      <w:pPr>
        <w:spacing w:after="120" w:line="324" w:lineRule="auto" w:before="280"/>
        <w:pBdr>
          <w:bottom w:val="single" w:sz="12" w:color="B88A00" w:space="4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7. ROI Model — 두 종류의 Payback 분리 (★ C-01 정정)</w:t>
      </w:r>
    </w:p>
    <w:p>
      <w:pPr>
        <w:spacing w:after="40" w:line="324" w:lineRule="auto"/>
        <w:ind w:left="283"/>
      </w:pPr>
      <w:r>
        <w:rPr>
          <w:rFonts w:ascii="맑은 고딕" w:hAnsi="맑은 고딕" w:eastAsia="맑은 고딕"/>
          <w:b/>
          <w:i w:val="0"/>
          <w:color w:val="C0292A"/>
          <w:sz w:val="20"/>
        </w:rPr>
        <w:t xml:space="preserve">[v3.2 정정] </w:t>
      </w:r>
      <w:r>
        <w:rPr>
          <w:rFonts w:ascii="맑은 고딕" w:hAnsi="맑은 고딕" w:eastAsia="맑은 고딕"/>
          <w:b w:val="0"/>
          <w:i w:val="0"/>
          <w:color w:val="101A33"/>
          <w:sz w:val="20"/>
        </w:rPr>
        <w:t>v3.1의 "Payback 2~4개월" 단일 표기는 폐기. 고객 측 Payback (고객의 인건비 절감 기준) 과 우리 측 Payback (CAC 회수 기준) 을 모든 자료에서 분리 표기.</w:t>
      </w:r>
    </w:p>
    <w:p>
      <w:pPr>
        <w:spacing w:after="80" w:line="324" w:lineRule="auto"/>
      </w:pPr>
      <w:r>
        <w:rPr>
          <w:rFonts w:ascii="맑은 고딕" w:hAnsi="맑은 고딕" w:eastAsia="맑은 고딕"/>
          <w:b/>
          <w:i w:val="0"/>
          <w:color w:val="0B1F4D"/>
          <w:sz w:val="27"/>
        </w:rPr>
        <w:t>7.1 고객 측 Payback (외부 자료에서 사용)</w:t>
      </w:r>
    </w:p>
    <w:p>
      <w:pPr>
        <w:spacing w:after="80" w:line="324" w:lineRule="auto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정의: 고객의 인건비 절감 ÷ 고객이 지불하는 플랜 비용.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3324"/>
        <w:gridCol w:w="3324"/>
        <w:gridCol w:w="3324"/>
      </w:tblGrid>
      <w:tr>
        <w:tc>
          <w:tcPr>
            <w:tcW w:type="dxa" w:w="2880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항목</w:t>
            </w:r>
          </w:p>
        </w:tc>
        <w:tc>
          <w:tcPr>
            <w:tcW w:type="dxa" w:w="2880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ICP-1 (제안·IR)</w:t>
            </w:r>
          </w:p>
        </w:tc>
        <w:tc>
          <w:tcPr>
            <w:tcW w:type="dxa" w:w="3456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계산</w:t>
            </w:r>
          </w:p>
        </w:tc>
      </w:tr>
      <w:tr>
        <w:tc>
          <w:tcPr>
            <w:tcW w:type="dxa" w:w="288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월 절감 시간</w:t>
            </w:r>
          </w:p>
        </w:tc>
        <w:tc>
          <w:tcPr>
            <w:tcW w:type="dxa" w:w="288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48h</w:t>
            </w:r>
          </w:p>
        </w:tc>
        <w:tc>
          <w:tcPr>
            <w:tcW w:type="dxa" w:w="345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월 4건 × 12h 절감</w:t>
            </w:r>
          </w:p>
        </w:tc>
      </w:tr>
      <w:tr>
        <w:tc>
          <w:tcPr>
            <w:tcW w:type="dxa" w:w="288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월 인건비 절감 (₩)</w:t>
            </w:r>
          </w:p>
        </w:tc>
        <w:tc>
          <w:tcPr>
            <w:tcW w:type="dxa" w:w="288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2,400,000</w:t>
            </w:r>
          </w:p>
        </w:tc>
        <w:tc>
          <w:tcPr>
            <w:tcW w:type="dxa" w:w="345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48h × 시간당 ₩50,000</w:t>
            </w:r>
          </w:p>
        </w:tc>
      </w:tr>
      <w:tr>
        <w:tc>
          <w:tcPr>
            <w:tcW w:type="dxa" w:w="288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월 플랜 비용 (₩)</w:t>
            </w:r>
          </w:p>
        </w:tc>
        <w:tc>
          <w:tcPr>
            <w:tcW w:type="dxa" w:w="288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900,000</w:t>
            </w:r>
          </w:p>
        </w:tc>
        <w:tc>
          <w:tcPr>
            <w:tcW w:type="dxa" w:w="345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Business Plan list price</w:t>
            </w:r>
          </w:p>
        </w:tc>
      </w:tr>
      <w:tr>
        <w:tc>
          <w:tcPr>
            <w:tcW w:type="dxa" w:w="288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월 순효과 (₩)</w:t>
            </w:r>
          </w:p>
        </w:tc>
        <w:tc>
          <w:tcPr>
            <w:tcW w:type="dxa" w:w="288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+1,500,000</w:t>
            </w:r>
          </w:p>
        </w:tc>
        <w:tc>
          <w:tcPr>
            <w:tcW w:type="dxa" w:w="345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</w:r>
          </w:p>
        </w:tc>
      </w:tr>
      <w:tr>
        <w:tc>
          <w:tcPr>
            <w:tcW w:type="dxa" w:w="288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고객 측 Payback (월)</w:t>
            </w:r>
          </w:p>
        </w:tc>
        <w:tc>
          <w:tcPr>
            <w:tcW w:type="dxa" w:w="288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2~4</w:t>
            </w:r>
          </w:p>
        </w:tc>
        <w:tc>
          <w:tcPr>
            <w:tcW w:type="dxa" w:w="345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도입·교육 비용 (1~3M) 회수 기간 포함</w:t>
            </w:r>
          </w:p>
        </w:tc>
      </w:tr>
    </w:tbl>
    <w:p>
      <w:pPr>
        <w:spacing w:after="40" w:line="324" w:lineRule="auto"/>
      </w:pPr>
    </w:p>
    <w:p>
      <w:pPr>
        <w:spacing w:after="80" w:line="324" w:lineRule="auto"/>
      </w:pPr>
      <w:r>
        <w:rPr>
          <w:rFonts w:ascii="맑은 고딕" w:hAnsi="맑은 고딕" w:eastAsia="맑은 고딕"/>
          <w:b/>
          <w:i w:val="0"/>
          <w:color w:val="0B1F4D"/>
          <w:sz w:val="27"/>
        </w:rPr>
        <w:t>7.2 우리 측 Payback (내부 자료에서 사용)</w:t>
      </w:r>
    </w:p>
    <w:p>
      <w:pPr>
        <w:spacing w:after="80" w:line="324" w:lineRule="auto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정의: 우리 회사가 그 고객을 확보·온보딩하는 데 든 CAC를 월 Gross Profit으로 회수하는 기간.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3324"/>
        <w:gridCol w:w="3324"/>
        <w:gridCol w:w="3324"/>
      </w:tblGrid>
      <w:tr>
        <w:tc>
          <w:tcPr>
            <w:tcW w:type="dxa" w:w="2880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항목</w:t>
            </w:r>
          </w:p>
        </w:tc>
        <w:tc>
          <w:tcPr>
            <w:tcW w:type="dxa" w:w="2880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값</w:t>
            </w:r>
          </w:p>
        </w:tc>
        <w:tc>
          <w:tcPr>
            <w:tcW w:type="dxa" w:w="3456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가정</w:t>
            </w:r>
          </w:p>
        </w:tc>
      </w:tr>
      <w:tr>
        <w:tc>
          <w:tcPr>
            <w:tcW w:type="dxa" w:w="288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월 ARPU (₩)</w:t>
            </w:r>
          </w:p>
        </w:tc>
        <w:tc>
          <w:tcPr>
            <w:tcW w:type="dxa" w:w="288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900,000</w:t>
            </w:r>
          </w:p>
        </w:tc>
        <w:tc>
          <w:tcPr>
            <w:tcW w:type="dxa" w:w="345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Business 플랜</w:t>
            </w:r>
          </w:p>
        </w:tc>
      </w:tr>
      <w:tr>
        <w:tc>
          <w:tcPr>
            <w:tcW w:type="dxa" w:w="288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Gross Margin</w:t>
            </w:r>
          </w:p>
        </w:tc>
        <w:tc>
          <w:tcPr>
            <w:tcW w:type="dxa" w:w="288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65~72%</w:t>
            </w:r>
          </w:p>
        </w:tc>
        <w:tc>
          <w:tcPr>
            <w:tcW w:type="dxa" w:w="345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모델 23~30% + 인프라 5~7% 차감</w:t>
            </w:r>
          </w:p>
        </w:tc>
      </w:tr>
      <w:tr>
        <w:tc>
          <w:tcPr>
            <w:tcW w:type="dxa" w:w="288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월 Gross Profit (₩)</w:t>
            </w:r>
          </w:p>
        </w:tc>
        <w:tc>
          <w:tcPr>
            <w:tcW w:type="dxa" w:w="288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585,000~648,000</w:t>
            </w:r>
          </w:p>
        </w:tc>
        <w:tc>
          <w:tcPr>
            <w:tcW w:type="dxa" w:w="345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</w:r>
          </w:p>
        </w:tc>
      </w:tr>
      <w:tr>
        <w:tc>
          <w:tcPr>
            <w:tcW w:type="dxa" w:w="288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CAC (₩, 추정)</w:t>
            </w:r>
          </w:p>
        </w:tc>
        <w:tc>
          <w:tcPr>
            <w:tcW w:type="dxa" w:w="288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3,500,000~6,000,000</w:t>
            </w:r>
          </w:p>
        </w:tc>
        <w:tc>
          <w:tcPr>
            <w:tcW w:type="dxa" w:w="345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SE 30시간 + 마케팅 분담</w:t>
            </w:r>
          </w:p>
        </w:tc>
      </w:tr>
      <w:tr>
        <w:tc>
          <w:tcPr>
            <w:tcW w:type="dxa" w:w="288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우리 측 Payback (월)</w:t>
            </w:r>
          </w:p>
        </w:tc>
        <w:tc>
          <w:tcPr>
            <w:tcW w:type="dxa" w:w="288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6~10</w:t>
            </w:r>
          </w:p>
        </w:tc>
        <w:tc>
          <w:tcPr>
            <w:tcW w:type="dxa" w:w="345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CAC ÷ 월 GP</w:t>
            </w:r>
          </w:p>
        </w:tc>
      </w:tr>
      <w:tr>
        <w:tc>
          <w:tcPr>
            <w:tcW w:type="dxa" w:w="288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LTV (₩)</w:t>
            </w:r>
          </w:p>
        </w:tc>
        <w:tc>
          <w:tcPr>
            <w:tcW w:type="dxa" w:w="288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21,060,000~27,648,000</w:t>
            </w:r>
          </w:p>
        </w:tc>
        <w:tc>
          <w:tcPr>
            <w:tcW w:type="dxa" w:w="345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36개월 lifetime × 월 GP</w:t>
            </w:r>
          </w:p>
        </w:tc>
      </w:tr>
      <w:tr>
        <w:tc>
          <w:tcPr>
            <w:tcW w:type="dxa" w:w="288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LTV / CAC</w:t>
            </w:r>
          </w:p>
        </w:tc>
        <w:tc>
          <w:tcPr>
            <w:tcW w:type="dxa" w:w="288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3.5~8.0x</w:t>
            </w:r>
          </w:p>
        </w:tc>
        <w:tc>
          <w:tcPr>
            <w:tcW w:type="dxa" w:w="345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목표 ≥ 3.0x</w:t>
            </w:r>
          </w:p>
        </w:tc>
      </w:tr>
    </w:tbl>
    <w:p>
      <w:pPr>
        <w:spacing w:after="40" w:line="324" w:lineRule="auto"/>
      </w:pPr>
    </w:p>
    <w:p>
      <w:pPr>
        <w:spacing w:after="80" w:line="324" w:lineRule="auto"/>
      </w:pPr>
      <w:r>
        <w:rPr>
          <w:rFonts w:ascii="맑은 고딕" w:hAnsi="맑은 고딕" w:eastAsia="맑은 고딕"/>
          <w:b/>
          <w:i w:val="0"/>
          <w:color w:val="0B1F4D"/>
          <w:sz w:val="27"/>
        </w:rPr>
        <w:t>7.3 두 ROI 비교 — 외부·내부 명시 가이드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3324"/>
        <w:gridCol w:w="3324"/>
        <w:gridCol w:w="3324"/>
      </w:tblGrid>
      <w:tr>
        <w:tc>
          <w:tcPr>
            <w:tcW w:type="dxa" w:w="2592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사용 위치</w:t>
            </w:r>
          </w:p>
        </w:tc>
        <w:tc>
          <w:tcPr>
            <w:tcW w:type="dxa" w:w="1728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사용할 ROI</w:t>
            </w:r>
          </w:p>
        </w:tc>
        <w:tc>
          <w:tcPr>
            <w:tcW w:type="dxa" w:w="4896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표기 예</w:t>
            </w:r>
          </w:p>
        </w:tc>
      </w:tr>
      <w:tr>
        <w:tc>
          <w:tcPr>
            <w:tcW w:type="dxa" w:w="2592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IR 덱·세일즈시트·고객 미팅</w:t>
            </w:r>
          </w:p>
        </w:tc>
        <w:tc>
          <w:tcPr>
            <w:tcW w:type="dxa" w:w="172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고객 측</w:t>
            </w:r>
          </w:p>
        </w:tc>
        <w:tc>
          <w:tcPr>
            <w:tcW w:type="dxa" w:w="489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"고객 측 Payback 2~4개월 (인건비 절감 기준)"</w:t>
            </w:r>
          </w:p>
        </w:tc>
      </w:tr>
      <w:tr>
        <w:tc>
          <w:tcPr>
            <w:tcW w:type="dxa" w:w="2592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기획실 패키지·이사회·재무 모델</w:t>
            </w:r>
          </w:p>
        </w:tc>
        <w:tc>
          <w:tcPr>
            <w:tcW w:type="dxa" w:w="172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우리 측</w:t>
            </w:r>
          </w:p>
        </w:tc>
        <w:tc>
          <w:tcPr>
            <w:tcW w:type="dxa" w:w="489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"우리 측 Payback 6~10개월 (CAC 회수)"</w:t>
            </w:r>
          </w:p>
        </w:tc>
      </w:tr>
      <w:tr>
        <w:tc>
          <w:tcPr>
            <w:tcW w:type="dxa" w:w="2592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통합 워크북</w:t>
            </w:r>
          </w:p>
        </w:tc>
        <w:tc>
          <w:tcPr>
            <w:tcW w:type="dxa" w:w="172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두 시트 분리</w:t>
            </w:r>
          </w:p>
        </w:tc>
        <w:tc>
          <w:tcPr>
            <w:tcW w:type="dxa" w:w="489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Sheet 1: 고객 ROI / Sheet 2: 우리 ROI</w:t>
            </w:r>
          </w:p>
        </w:tc>
      </w:tr>
      <w:tr>
        <w:tc>
          <w:tcPr>
            <w:tcW w:type="dxa" w:w="2592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외부 미디어·블로그</w:t>
            </w:r>
          </w:p>
        </w:tc>
        <w:tc>
          <w:tcPr>
            <w:tcW w:type="dxa" w:w="172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고객 측 (단 출처 명시)</w:t>
            </w:r>
          </w:p>
        </w:tc>
        <w:tc>
          <w:tcPr>
            <w:tcW w:type="dxa" w:w="489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"고객 측 Payback 2~4개월. 우리 회사 CAC 회수는 별도"</w:t>
            </w:r>
          </w:p>
        </w:tc>
      </w:tr>
    </w:tbl>
    <w:p>
      <w:pPr>
        <w:spacing w:after="40" w:line="324" w:lineRule="auto"/>
      </w:pPr>
    </w:p>
    <w:tbl>
      <w:tblPr>
        <w:tblW w:type="auto" w:w="0"/>
        <w:tblLook w:firstColumn="1" w:firstRow="1" w:lastColumn="0" w:lastRow="0" w:noHBand="0" w:noVBand="1" w:val="04A0"/>
      </w:tblPr>
      <w:tblGrid>
        <w:gridCol w:w="9972"/>
      </w:tblGrid>
      <w:tr>
        <w:tc>
          <w:tcPr>
            <w:tcW w:type="dxa" w:w="9972"/>
            <w:shd w:val="clear" w:color="auto" w:fill="F1F4FB"/>
            <w:tcBorders>
              <w:left w:val="single" w:sz="24" w:color="0B1F4D"/>
              <w:top w:val="single" w:sz="4" w:color="CCD3E0"/>
              <w:right w:val="single" w:sz="4" w:color="CCD3E0"/>
              <w:bottom w:val="single" w:sz="4" w:color="CCD3E0"/>
            </w:tcBorders>
          </w:tcPr>
          <w:p>
            <w:pPr>
              <w:spacing w:after="40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절대 혼용 금지</w:t>
            </w:r>
          </w:p>
          <w:p>
            <w:pPr>
              <w:spacing w:after="0"/>
            </w:pPr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두 숫자를 "Payback" 으로만 같이 쓰면 외부도 내부도 신뢰 손상. 표기는 항상 "고객 측 / 우리 측" 접두어를 반드시 붙인다.</w:t>
            </w:r>
          </w:p>
        </w:tc>
      </w:tr>
    </w:tbl>
    <w:p>
      <w:pPr>
        <w:spacing w:after="80" w:line="324" w:lineRule="auto"/>
      </w:pPr>
    </w:p>
    <w:p>
      <w:r>
        <w:br w:type="page"/>
      </w:r>
    </w:p>
    <w:p>
      <w:pPr>
        <w:spacing w:after="120" w:line="324" w:lineRule="auto" w:before="280"/>
        <w:pBdr>
          <w:bottom w:val="single" w:sz="12" w:color="B88A00" w:space="4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8. Pilot 가설 검증 프로토콜 (★ C-04 신설)</w:t>
      </w:r>
    </w:p>
    <w:p>
      <w:pPr>
        <w:spacing w:after="40" w:line="324" w:lineRule="auto"/>
        <w:ind w:left="283"/>
      </w:pPr>
      <w:r>
        <w:rPr>
          <w:rFonts w:ascii="맑은 고딕" w:hAnsi="맑은 고딕" w:eastAsia="맑은 고딕"/>
          <w:b/>
          <w:i w:val="0"/>
          <w:color w:val="C0292A"/>
          <w:sz w:val="20"/>
        </w:rPr>
        <w:t xml:space="preserve">[v3.2 정정] </w:t>
      </w:r>
      <w:r>
        <w:rPr>
          <w:rFonts w:ascii="맑은 고딕" w:hAnsi="맑은 고딕" w:eastAsia="맑은 고딕"/>
          <w:b w:val="0"/>
          <w:i w:val="0"/>
          <w:color w:val="101A33"/>
          <w:sz w:val="20"/>
        </w:rPr>
        <w:t>v3.1의 "Self-serve 75% / Service 25%" 단정 표기 → "H2 가설" 로 명시. Pilot 3社에서 측정 KPI로 검증, 실패 시 옵션 B 즉시 전환 트리거.</w:t>
      </w:r>
    </w:p>
    <w:p>
      <w:pPr>
        <w:spacing w:after="80" w:line="324" w:lineRule="auto"/>
      </w:pPr>
      <w:r>
        <w:rPr>
          <w:rFonts w:ascii="맑은 고딕" w:hAnsi="맑은 고딕" w:eastAsia="맑은 고딕"/>
          <w:b/>
          <w:i w:val="0"/>
          <w:color w:val="0B1F4D"/>
          <w:sz w:val="27"/>
        </w:rPr>
        <w:t>8.1 핵심 가설 5개 (기획실 패키지 §3과 동일)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1994"/>
        <w:gridCol w:w="1994"/>
        <w:gridCol w:w="1994"/>
        <w:gridCol w:w="1994"/>
        <w:gridCol w:w="1994"/>
      </w:tblGrid>
      <w:tr>
        <w:tc>
          <w:tcPr>
            <w:tcW w:type="dxa" w:w="576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#</w:t>
            </w:r>
          </w:p>
        </w:tc>
        <w:tc>
          <w:tcPr>
            <w:tcW w:type="dxa" w:w="3456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가설</w:t>
            </w:r>
          </w:p>
        </w:tc>
        <w:tc>
          <w:tcPr>
            <w:tcW w:type="dxa" w:w="2160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측정 KPI</w:t>
            </w:r>
          </w:p>
        </w:tc>
        <w:tc>
          <w:tcPr>
            <w:tcW w:type="dxa" w:w="1440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Pass 임계</w:t>
            </w:r>
          </w:p>
        </w:tc>
        <w:tc>
          <w:tcPr>
            <w:tcW w:type="dxa" w:w="1584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Fail 시 액션</w:t>
            </w:r>
          </w:p>
        </w:tc>
      </w:tr>
      <w:tr>
        <w:tc>
          <w:tcPr>
            <w:tcW w:type="dxa" w:w="57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H1</w:t>
            </w:r>
          </w:p>
        </w:tc>
        <w:tc>
          <w:tcPr>
            <w:tcW w:type="dxa" w:w="345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ICP-1 기업이 시간 75% 절감을 가치로 인식한다</w:t>
            </w:r>
          </w:p>
        </w:tc>
        <w:tc>
          <w:tcPr>
            <w:tcW w:type="dxa" w:w="216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Pilot 후 NPS + 자율 유료 전환 의사</w:t>
            </w:r>
          </w:p>
        </w:tc>
        <w:tc>
          <w:tcPr>
            <w:tcW w:type="dxa" w:w="144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NPS ≥ 40 / 전환의사 ≥ 60%</w:t>
            </w:r>
          </w:p>
        </w:tc>
        <w:tc>
          <w:tcPr>
            <w:tcW w:type="dxa" w:w="1584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ICP-1 가치 명제 재정의</w:t>
            </w:r>
          </w:p>
        </w:tc>
      </w:tr>
      <w:tr>
        <w:tc>
          <w:tcPr>
            <w:tcW w:type="dxa" w:w="57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H2</w:t>
            </w:r>
          </w:p>
        </w:tc>
        <w:tc>
          <w:tcPr>
            <w:tcW w:type="dxa" w:w="345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Skill 부품화로 Self-serve ≥ 70% 달성 가능</w:t>
            </w:r>
          </w:p>
        </w:tc>
        <w:tc>
          <w:tcPr>
            <w:tcW w:type="dxa" w:w="216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주별 Self-serve 비율 (Service 개입 시간 / 총 사용 시간)</w:t>
            </w:r>
          </w:p>
        </w:tc>
        <w:tc>
          <w:tcPr>
            <w:tcW w:type="dxa" w:w="144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M3까지 ≥ 50% / M6까지 ≥ 70%</w:t>
            </w:r>
          </w:p>
        </w:tc>
        <w:tc>
          <w:tcPr>
            <w:tcW w:type="dxa" w:w="1584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옵션 B (도메인 중심) 즉시 검토</w:t>
            </w:r>
          </w:p>
        </w:tc>
      </w:tr>
      <w:tr>
        <w:tc>
          <w:tcPr>
            <w:tcW w:type="dxa" w:w="57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H3</w:t>
            </w:r>
          </w:p>
        </w:tc>
        <w:tc>
          <w:tcPr>
            <w:tcW w:type="dxa" w:w="345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Governance Phase 1을 4주 안에 구현 가능</w:t>
            </w:r>
          </w:p>
        </w:tc>
        <w:tc>
          <w:tcPr>
            <w:tcW w:type="dxa" w:w="216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M2/M3/M5/M8 통합 테스트 통과 시점</w:t>
            </w:r>
          </w:p>
        </w:tc>
        <w:tc>
          <w:tcPr>
            <w:tcW w:type="dxa" w:w="144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W4 종료 시 8/8 통과</w:t>
            </w:r>
          </w:p>
        </w:tc>
        <w:tc>
          <w:tcPr>
            <w:tcW w:type="dxa" w:w="1584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Pilot 시작 2주 연기 + Phase 1 재계획</w:t>
            </w:r>
          </w:p>
        </w:tc>
      </w:tr>
      <w:tr>
        <w:tc>
          <w:tcPr>
            <w:tcW w:type="dxa" w:w="57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H4</w:t>
            </w:r>
          </w:p>
        </w:tc>
        <w:tc>
          <w:tcPr>
            <w:tcW w:type="dxa" w:w="345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Business Plan ₩900K가 가격 수용선</w:t>
            </w:r>
          </w:p>
        </w:tc>
        <w:tc>
          <w:tcPr>
            <w:tcW w:type="dxa" w:w="216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Pilot 종료 후 정식 가격 협상 수용률</w:t>
            </w:r>
          </w:p>
        </w:tc>
        <w:tc>
          <w:tcPr>
            <w:tcW w:type="dxa" w:w="144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≥ 60% 수용</w:t>
            </w:r>
          </w:p>
        </w:tc>
        <w:tc>
          <w:tcPr>
            <w:tcW w:type="dxa" w:w="1584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Plan 가격 재조정 (Q2 초)</w:t>
            </w:r>
          </w:p>
        </w:tc>
      </w:tr>
      <w:tr>
        <w:tc>
          <w:tcPr>
            <w:tcW w:type="dxa" w:w="57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H5</w:t>
            </w:r>
          </w:p>
        </w:tc>
        <w:tc>
          <w:tcPr>
            <w:tcW w:type="dxa" w:w="345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도메인 팩이 ARR의 30%+ 가능</w:t>
            </w:r>
          </w:p>
        </w:tc>
        <w:tc>
          <w:tcPr>
            <w:tcW w:type="dxa" w:w="216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법무 팩 베타 후 12개월 ARR 비중</w:t>
            </w:r>
          </w:p>
        </w:tc>
        <w:tc>
          <w:tcPr>
            <w:tcW w:type="dxa" w:w="144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≥ 25%</w:t>
            </w:r>
          </w:p>
        </w:tc>
        <w:tc>
          <w:tcPr>
            <w:tcW w:type="dxa" w:w="1584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도메인 전략 재설계</w:t>
            </w:r>
          </w:p>
        </w:tc>
      </w:tr>
    </w:tbl>
    <w:p>
      <w:pPr>
        <w:spacing w:after="40" w:line="324" w:lineRule="auto"/>
      </w:pPr>
    </w:p>
    <w:p>
      <w:pPr>
        <w:spacing w:after="80" w:line="324" w:lineRule="auto"/>
      </w:pPr>
      <w:r>
        <w:rPr>
          <w:rFonts w:ascii="맑은 고딕" w:hAnsi="맑은 고딕" w:eastAsia="맑은 고딕"/>
          <w:b/>
          <w:i w:val="0"/>
          <w:color w:val="0B1F4D"/>
          <w:sz w:val="27"/>
        </w:rPr>
        <w:t>8.2 Pilot 계약서 필수 조항 (가설 검증을 위한)</w:t>
      </w:r>
    </w:p>
    <w:p>
      <w:pPr>
        <w:spacing w:after="40" w:line="324" w:lineRule="auto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·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"본 Pilot은 가설 검증 목적이며, 우리는 위 5개 KPI를 측정·공유한다" 명시</w:t>
      </w:r>
    </w:p>
    <w:p>
      <w:pPr>
        <w:spacing w:after="40" w:line="324" w:lineRule="auto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·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Self-serve 비율은 우리 측 운영 도구가 자동 수집 — 고객 추가 작업 없음</w:t>
      </w:r>
    </w:p>
    <w:p>
      <w:pPr>
        <w:spacing w:after="40" w:line="324" w:lineRule="auto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·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Pilot 종료 4주 전 가격 협상 인터뷰 1회 (H4 검증 데이터)</w:t>
      </w:r>
    </w:p>
    <w:p>
      <w:pPr>
        <w:spacing w:after="40" w:line="324" w:lineRule="auto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·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측정 데이터는 익명화 후 케이스 스터디 사용 가능 — 고객사명 비공개</w:t>
      </w:r>
    </w:p>
    <w:p>
      <w:pPr>
        <w:spacing w:after="80" w:line="324" w:lineRule="auto"/>
      </w:pPr>
      <w:r>
        <w:rPr>
          <w:rFonts w:ascii="맑은 고딕" w:hAnsi="맑은 고딕" w:eastAsia="맑은 고딕"/>
          <w:b/>
          <w:i w:val="0"/>
          <w:color w:val="0B1F4D"/>
          <w:sz w:val="27"/>
        </w:rPr>
        <w:t>8.3 옵션 B 전환 트리거</w:t>
      </w:r>
    </w:p>
    <w:p>
      <w:pPr>
        <w:spacing w:after="80" w:line="324" w:lineRule="auto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Pilot 3社 중 첫 2社의 Self-serve 비율이 M2 종료 시점에 30% 미만이면, 옵션 A (제품 중심) 의 핵심 가설 H2가 무너진 것으로 판단. 기획실 긴급 회의 → 2주 안에 옵션 B (도메인 중심, 법무) 또는 옵션 A 재설계 결정.</w:t>
      </w:r>
    </w:p>
    <w:p>
      <w:r>
        <w:br w:type="page"/>
      </w:r>
    </w:p>
    <w:p>
      <w:pPr>
        <w:spacing w:after="120" w:line="324" w:lineRule="auto" w:before="280"/>
        <w:pBdr>
          <w:bottom w:val="single" w:sz="12" w:color="B88A00" w:space="4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9. 컴플라이언스 표현 가이드 (★ C-05 신설)</w:t>
      </w:r>
    </w:p>
    <w:p>
      <w:pPr>
        <w:spacing w:after="40" w:line="324" w:lineRule="auto"/>
        <w:ind w:left="283"/>
      </w:pPr>
      <w:r>
        <w:rPr>
          <w:rFonts w:ascii="맑은 고딕" w:hAnsi="맑은 고딕" w:eastAsia="맑은 고딕"/>
          <w:b/>
          <w:i w:val="0"/>
          <w:color w:val="C0292A"/>
          <w:sz w:val="20"/>
        </w:rPr>
        <w:t xml:space="preserve">[v3.2 정정] </w:t>
      </w:r>
      <w:r>
        <w:rPr>
          <w:rFonts w:ascii="맑은 고딕" w:hAnsi="맑은 고딕" w:eastAsia="맑은 고딕"/>
          <w:b w:val="0"/>
          <w:i w:val="0"/>
          <w:color w:val="101A33"/>
          <w:sz w:val="20"/>
        </w:rPr>
        <w:t>v3.1의 "한국 AI 기본법 시행 → 거버넌스 내장 AI만 도입 가능" 단정 표현은 외부 자료 전체에서 폐기. 외부 법무 자문 (Q1 2~3주차) 완료 전까지는 약화된 표현만 사용.</w:t>
      </w:r>
    </w:p>
    <w:p>
      <w:pPr>
        <w:spacing w:after="80" w:line="324" w:lineRule="auto"/>
      </w:pPr>
      <w:r>
        <w:rPr>
          <w:rFonts w:ascii="맑은 고딕" w:hAnsi="맑은 고딕" w:eastAsia="맑은 고딕"/>
          <w:b/>
          <w:i w:val="0"/>
          <w:color w:val="0B1F4D"/>
          <w:sz w:val="27"/>
        </w:rPr>
        <w:t>9.1 약화 표현 변환 표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3324"/>
        <w:gridCol w:w="3324"/>
        <w:gridCol w:w="3324"/>
      </w:tblGrid>
      <w:tr>
        <w:tc>
          <w:tcPr>
            <w:tcW w:type="dxa" w:w="3456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v3.1 표현 (폐기)</w:t>
            </w:r>
          </w:p>
        </w:tc>
        <w:tc>
          <w:tcPr>
            <w:tcW w:type="dxa" w:w="4608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v3.2 표현 (사용)</w:t>
            </w:r>
          </w:p>
        </w:tc>
        <w:tc>
          <w:tcPr>
            <w:tcW w:type="dxa" w:w="1728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사용 위치</w:t>
            </w:r>
          </w:p>
        </w:tc>
      </w:tr>
      <w:tr>
        <w:tc>
          <w:tcPr>
            <w:tcW w:type="dxa" w:w="345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한국 AI 기본법 시행으로 거버넌스 내장 AI만 도입 가능</w:t>
            </w:r>
          </w:p>
        </w:tc>
        <w:tc>
          <w:tcPr>
            <w:tcW w:type="dxa" w:w="460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한국·국제 규제 동향에 대비한 거버넌스 설계</w:t>
            </w:r>
          </w:p>
        </w:tc>
        <w:tc>
          <w:tcPr>
            <w:tcW w:type="dxa" w:w="172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IR 덱 슬라이드 11</w:t>
            </w:r>
          </w:p>
        </w:tc>
      </w:tr>
      <w:tr>
        <w:tc>
          <w:tcPr>
            <w:tcW w:type="dxa" w:w="345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OWASP/NIST 정렬</w:t>
            </w:r>
          </w:p>
        </w:tc>
        <w:tc>
          <w:tcPr>
            <w:tcW w:type="dxa" w:w="460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OWASP LLM Top 10 (2025) 와 NIST AI RMF GenAI Profile 의 권고를 참고한 설계</w:t>
            </w:r>
          </w:p>
        </w:tc>
        <w:tc>
          <w:tcPr>
            <w:tcW w:type="dxa" w:w="172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마스터 §6, IR 덱</w:t>
            </w:r>
          </w:p>
        </w:tc>
      </w:tr>
      <w:tr>
        <w:tc>
          <w:tcPr>
            <w:tcW w:type="dxa" w:w="345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엔터프라이즈 컴플라이언스 보장</w:t>
            </w:r>
          </w:p>
        </w:tc>
        <w:tc>
          <w:tcPr>
            <w:tcW w:type="dxa" w:w="460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엔터프라이즈 컴플라이언스 검토를 지원하는 거버넌스 모듈 제공</w:t>
            </w:r>
          </w:p>
        </w:tc>
        <w:tc>
          <w:tcPr>
            <w:tcW w:type="dxa" w:w="172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세일즈시트 차별점</w:t>
            </w:r>
          </w:p>
        </w:tc>
      </w:tr>
      <w:tr>
        <w:tc>
          <w:tcPr>
            <w:tcW w:type="dxa" w:w="345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공공·금융·제조 컴플라이언스 정렬</w:t>
            </w:r>
          </w:p>
        </w:tc>
        <w:tc>
          <w:tcPr>
            <w:tcW w:type="dxa" w:w="460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공공·금융·제조 도메인의 일반적 통제 요건을 반영한 모듈 (도메인별 자체 검토 필요)</w:t>
            </w:r>
          </w:p>
        </w:tc>
        <w:tc>
          <w:tcPr>
            <w:tcW w:type="dxa" w:w="172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마스터 §1.3, IR 덱</w:t>
            </w:r>
          </w:p>
        </w:tc>
      </w:tr>
    </w:tbl>
    <w:p>
      <w:pPr>
        <w:spacing w:after="40" w:line="324" w:lineRule="auto"/>
      </w:pPr>
    </w:p>
    <w:p>
      <w:pPr>
        <w:spacing w:after="80" w:line="324" w:lineRule="auto"/>
      </w:pPr>
      <w:r>
        <w:rPr>
          <w:rFonts w:ascii="맑은 고딕" w:hAnsi="맑은 고딕" w:eastAsia="맑은 고딕"/>
          <w:b/>
          <w:i w:val="0"/>
          <w:color w:val="0B1F4D"/>
          <w:sz w:val="27"/>
        </w:rPr>
        <w:t>9.2 외부 자료에서 사용 가능한 표현 화이트리스트</w:t>
      </w:r>
    </w:p>
    <w:p>
      <w:pPr>
        <w:spacing w:after="40" w:line="324" w:lineRule="auto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·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"권고를 참고한" / "반영한" / "대비한" — OK</w:t>
      </w:r>
    </w:p>
    <w:p>
      <w:pPr>
        <w:spacing w:after="40" w:line="324" w:lineRule="auto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·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"검토를 지원하는" / "가시성을 제공하는" — OK</w:t>
      </w:r>
    </w:p>
    <w:p>
      <w:pPr>
        <w:spacing w:after="40" w:line="324" w:lineRule="auto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·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"준수" / "보장" / "인증" — 외부 인증서 확보 전까지 사용 금지</w:t>
      </w:r>
    </w:p>
    <w:p>
      <w:pPr>
        <w:spacing w:after="40" w:line="324" w:lineRule="auto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·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"법적 의무" / "필수" — 법무 자문 결과 명시되지 않으면 금지</w:t>
      </w:r>
    </w:p>
    <w:p>
      <w:pPr>
        <w:spacing w:after="80" w:line="324" w:lineRule="auto"/>
      </w:pPr>
      <w:r>
        <w:rPr>
          <w:rFonts w:ascii="맑은 고딕" w:hAnsi="맑은 고딕" w:eastAsia="맑은 고딕"/>
          <w:b/>
          <w:i w:val="0"/>
          <w:color w:val="0B1F4D"/>
          <w:sz w:val="27"/>
        </w:rPr>
        <w:t>9.3 외부 법무 자문 결과 반영 절차</w:t>
      </w:r>
    </w:p>
    <w:p>
      <w:pPr>
        <w:spacing w:after="40" w:line="324" w:lineRule="auto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·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Q1 2주차 — 외부 법무법인 1회 자문 (예산 ₩5M, 2주 내 결과)</w:t>
      </w:r>
    </w:p>
    <w:p>
      <w:pPr>
        <w:spacing w:after="40" w:line="324" w:lineRule="auto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·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Q1 4주차 — 결과를 부록 "확정 사실" 1페이지로 정리</w:t>
      </w:r>
    </w:p>
    <w:p>
      <w:pPr>
        <w:spacing w:after="40" w:line="324" w:lineRule="auto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·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Q1 4주차 — IR 덱·세일즈시트·마스터 §1.3 표현을 "확정 사실" 기반으로 강화 가능 영역만 강화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972"/>
      </w:tblGrid>
      <w:tr>
        <w:tc>
          <w:tcPr>
            <w:tcW w:type="dxa" w:w="9972"/>
            <w:shd w:val="clear" w:color="auto" w:fill="F1F4FB"/>
            <w:tcBorders>
              <w:left w:val="single" w:sz="24" w:color="0B1F4D"/>
              <w:top w:val="single" w:sz="4" w:color="CCD3E0"/>
              <w:right w:val="single" w:sz="4" w:color="CCD3E0"/>
              <w:bottom w:val="single" w:sz="4" w:color="CCD3E0"/>
            </w:tcBorders>
          </w:tcPr>
          <w:p>
            <w:pPr>
              <w:spacing w:after="40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기획실 보호 룰</w:t>
            </w:r>
          </w:p>
          <w:p>
            <w:pPr>
              <w:spacing w:after="0"/>
            </w:pPr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외부 법무 자문 결과가 나오기 전까지 새 자료를 외부에 공개할 때, 법적·규제적 단정 문장은 모두 위 9.1 변환표를 거쳐야 한다. 위반 시 발견자가 즉시 공개 중단 요청 가능.</w:t>
            </w:r>
          </w:p>
        </w:tc>
      </w:tr>
    </w:tbl>
    <w:p>
      <w:pPr>
        <w:spacing w:after="80" w:line="324" w:lineRule="auto"/>
      </w:pPr>
    </w:p>
    <w:p>
      <w:r>
        <w:br w:type="page"/>
      </w:r>
    </w:p>
    <w:p>
      <w:pPr>
        <w:spacing w:after="120" w:line="324" w:lineRule="auto" w:before="280"/>
        <w:pBdr>
          <w:bottom w:val="single" w:sz="12" w:color="B88A00" w:space="4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10. v3.2 정정의 자료별 영향</w:t>
      </w:r>
    </w:p>
    <w:p>
      <w:pPr>
        <w:spacing w:after="80" w:line="324" w:lineRule="auto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이번 정정으로 갱신·재배포가 필요한 자료 목록.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1994"/>
        <w:gridCol w:w="1994"/>
        <w:gridCol w:w="1994"/>
        <w:gridCol w:w="1994"/>
        <w:gridCol w:w="1994"/>
      </w:tblGrid>
      <w:tr>
        <w:tc>
          <w:tcPr>
            <w:tcW w:type="dxa" w:w="432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#</w:t>
            </w:r>
          </w:p>
        </w:tc>
        <w:tc>
          <w:tcPr>
            <w:tcW w:type="dxa" w:w="2448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자료</w:t>
            </w:r>
          </w:p>
        </w:tc>
        <w:tc>
          <w:tcPr>
            <w:tcW w:type="dxa" w:w="3456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영향 영역</w:t>
            </w:r>
          </w:p>
        </w:tc>
        <w:tc>
          <w:tcPr>
            <w:tcW w:type="dxa" w:w="1440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갱신 우선순위</w:t>
            </w:r>
          </w:p>
        </w:tc>
        <w:tc>
          <w:tcPr>
            <w:tcW w:type="dxa" w:w="1440"/>
            <w:shd w:val="clear" w:color="auto" w:fill="0B1F4D"/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담당</w:t>
            </w:r>
          </w:p>
        </w:tc>
      </w:tr>
      <w:tr>
        <w:tc>
          <w:tcPr>
            <w:tcW w:type="dxa" w:w="432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1</w:t>
            </w:r>
          </w:p>
        </w:tc>
        <w:tc>
          <w:tcPr>
            <w:tcW w:type="dxa" w:w="244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마스터 v3.2 (본 문서)</w:t>
            </w:r>
          </w:p>
        </w:tc>
        <w:tc>
          <w:tcPr>
            <w:tcW w:type="dxa" w:w="345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정본</w:t>
            </w:r>
          </w:p>
        </w:tc>
        <w:tc>
          <w:tcPr>
            <w:tcW w:type="dxa" w:w="144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즉시 (현재)</w:t>
            </w:r>
          </w:p>
        </w:tc>
        <w:tc>
          <w:tcPr>
            <w:tcW w:type="dxa" w:w="144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기획</w:t>
            </w:r>
          </w:p>
        </w:tc>
      </w:tr>
      <w:tr>
        <w:tc>
          <w:tcPr>
            <w:tcW w:type="dxa" w:w="432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2</w:t>
            </w:r>
          </w:p>
        </w:tc>
        <w:tc>
          <w:tcPr>
            <w:tcW w:type="dxa" w:w="244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통합 워크북 v1.1</w:t>
            </w:r>
          </w:p>
        </w:tc>
        <w:tc>
          <w:tcPr>
            <w:tcW w:type="dxa" w:w="345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C-01 (ROI 두 시트 분리), M-04 (토큰 모델)</w:t>
            </w:r>
          </w:p>
        </w:tc>
        <w:tc>
          <w:tcPr>
            <w:tcW w:type="dxa" w:w="144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Q1 1주</w:t>
            </w:r>
          </w:p>
        </w:tc>
        <w:tc>
          <w:tcPr>
            <w:tcW w:type="dxa" w:w="144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기획·CFO 대행</w:t>
            </w:r>
          </w:p>
        </w:tc>
      </w:tr>
      <w:tr>
        <w:tc>
          <w:tcPr>
            <w:tcW w:type="dxa" w:w="432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3</w:t>
            </w:r>
          </w:p>
        </w:tc>
        <w:tc>
          <w:tcPr>
            <w:tcW w:type="dxa" w:w="244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IR 덱 v1.1</w:t>
            </w:r>
          </w:p>
        </w:tc>
        <w:tc>
          <w:tcPr>
            <w:tcW w:type="dxa" w:w="345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C-01 (슬라이드 7) / C-05 (슬라이드 11)</w:t>
            </w:r>
          </w:p>
        </w:tc>
        <w:tc>
          <w:tcPr>
            <w:tcW w:type="dxa" w:w="144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Q1 1~2주</w:t>
            </w:r>
          </w:p>
        </w:tc>
        <w:tc>
          <w:tcPr>
            <w:tcW w:type="dxa" w:w="144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CEO·BD</w:t>
            </w:r>
          </w:p>
        </w:tc>
      </w:tr>
      <w:tr>
        <w:tc>
          <w:tcPr>
            <w:tcW w:type="dxa" w:w="432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4</w:t>
            </w:r>
          </w:p>
        </w:tc>
        <w:tc>
          <w:tcPr>
            <w:tcW w:type="dxa" w:w="244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세일즈시트 v1.1</w:t>
            </w:r>
          </w:p>
        </w:tc>
        <w:tc>
          <w:tcPr>
            <w:tcW w:type="dxa" w:w="345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C-01 (ROI 박스) / C-05 (차별점)</w:t>
            </w:r>
          </w:p>
        </w:tc>
        <w:tc>
          <w:tcPr>
            <w:tcW w:type="dxa" w:w="144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Q1 1주</w:t>
            </w:r>
          </w:p>
        </w:tc>
        <w:tc>
          <w:tcPr>
            <w:tcW w:type="dxa" w:w="144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GTM</w:t>
            </w:r>
          </w:p>
        </w:tc>
      </w:tr>
      <w:tr>
        <w:tc>
          <w:tcPr>
            <w:tcW w:type="dxa" w:w="432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5</w:t>
            </w:r>
          </w:p>
        </w:tc>
        <w:tc>
          <w:tcPr>
            <w:tcW w:type="dxa" w:w="244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운영자산 v1.1</w:t>
            </w:r>
          </w:p>
        </w:tc>
        <w:tc>
          <w:tcPr>
            <w:tcW w:type="dxa" w:w="345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C-03 (Phase 1/2), §5 Handover Checklist 신설 (L-04)</w:t>
            </w:r>
          </w:p>
        </w:tc>
        <w:tc>
          <w:tcPr>
            <w:tcW w:type="dxa" w:w="144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Q1 2주</w:t>
            </w:r>
          </w:p>
        </w:tc>
        <w:tc>
          <w:tcPr>
            <w:tcW w:type="dxa" w:w="144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CS·Platform</w:t>
            </w:r>
          </w:p>
        </w:tc>
      </w:tr>
      <w:tr>
        <w:tc>
          <w:tcPr>
            <w:tcW w:type="dxa" w:w="432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6</w:t>
            </w:r>
          </w:p>
        </w:tc>
        <w:tc>
          <w:tcPr>
            <w:tcW w:type="dxa" w:w="244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agents-skills md</w:t>
            </w:r>
          </w:p>
        </w:tc>
        <w:tc>
          <w:tcPr>
            <w:tcW w:type="dxa" w:w="345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C-02 (Tier 컬럼 추가), 9→4 통합 안내</w:t>
            </w:r>
          </w:p>
        </w:tc>
        <w:tc>
          <w:tcPr>
            <w:tcW w:type="dxa" w:w="144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Q1 2주</w:t>
            </w:r>
          </w:p>
        </w:tc>
        <w:tc>
          <w:tcPr>
            <w:tcW w:type="dxa" w:w="144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Skill Lead</w:t>
            </w:r>
          </w:p>
        </w:tc>
      </w:tr>
      <w:tr>
        <w:tc>
          <w:tcPr>
            <w:tcW w:type="dxa" w:w="432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7</w:t>
            </w:r>
          </w:p>
        </w:tc>
        <w:tc>
          <w:tcPr>
            <w:tcW w:type="dxa" w:w="2448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기획실 패키지 v1.0</w:t>
            </w:r>
          </w:p>
        </w:tc>
        <w:tc>
          <w:tcPr>
            <w:tcW w:type="dxa" w:w="3456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C-01 (이미 분리) / 가설 표기 (이미 반영)</w:t>
            </w:r>
          </w:p>
        </w:tc>
        <w:tc>
          <w:tcPr>
            <w:tcW w:type="dxa" w:w="144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변경 없음</w:t>
            </w:r>
          </w:p>
        </w:tc>
        <w:tc>
          <w:tcPr>
            <w:tcW w:type="dxa" w:w="1440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기획</w:t>
            </w:r>
          </w:p>
        </w:tc>
      </w:tr>
      <w:tr>
        <w:tc>
          <w:tcPr>
            <w:tcW w:type="dxa" w:w="432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8</w:t>
            </w:r>
          </w:p>
        </w:tc>
        <w:tc>
          <w:tcPr>
            <w:tcW w:type="dxa" w:w="2448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자체 재점검 v1.0</w:t>
            </w:r>
          </w:p>
        </w:tc>
        <w:tc>
          <w:tcPr>
            <w:tcW w:type="dxa" w:w="3456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C-01~C-05 모두 v3.2에서 닫힘 → "닫힌 이슈" 표시</w:t>
            </w:r>
          </w:p>
        </w:tc>
        <w:tc>
          <w:tcPr>
            <w:tcW w:type="dxa" w:w="144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Q2 초</w:t>
            </w:r>
          </w:p>
        </w:tc>
        <w:tc>
          <w:tcPr>
            <w:tcW w:type="dxa" w:w="1440"/>
            <w:shd w:val="clear" w:color="auto" w:fill="F4F6FB"/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기획</w:t>
            </w:r>
          </w:p>
        </w:tc>
      </w:tr>
    </w:tbl>
    <w:p>
      <w:pPr>
        <w:spacing w:after="40" w:line="324" w:lineRule="auto"/>
      </w:pPr>
    </w:p>
    <w:p>
      <w:pPr>
        <w:spacing w:after="120" w:line="324" w:lineRule="auto" w:before="280"/>
        <w:pBdr>
          <w:bottom w:val="single" w:sz="12" w:color="B88A00" w:space="4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11. 다음 단계 (v3.2 → v3.3)</w:t>
      </w:r>
    </w:p>
    <w:p>
      <w:pPr>
        <w:spacing w:after="40" w:line="324" w:lineRule="auto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·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Q1 1~2주: 워크북 v1.1, IR 덱 v1.1, 세일즈시트 v1.1 정정</w:t>
      </w:r>
    </w:p>
    <w:p>
      <w:pPr>
        <w:spacing w:after="40" w:line="324" w:lineRule="auto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·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Q1 2~4주: Pilot 3社 모집 + Pilot 계약서 가설 KPI 명시</w:t>
      </w:r>
    </w:p>
    <w:p>
      <w:pPr>
        <w:spacing w:after="40" w:line="324" w:lineRule="auto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·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Q1 4~8주: Governance Phase 1 (4 모듈) 구현 + 외부 보안 검토</w:t>
      </w:r>
    </w:p>
    <w:p>
      <w:pPr>
        <w:spacing w:after="40" w:line="324" w:lineRule="auto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·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Q2 초: 외부 법무 자문 결과 반영 → 컴플라이언스 표현 강화 가능 영역만 강화</w:t>
      </w:r>
    </w:p>
    <w:p>
      <w:pPr>
        <w:spacing w:after="40" w:line="324" w:lineRule="auto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·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Q2 중: Pilot 1社 첫 한 달 결과 → 가설 H1·H2·H4 1차 검증 → v3.3 마스터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972"/>
      </w:tblGrid>
      <w:tr>
        <w:tc>
          <w:tcPr>
            <w:tcW w:type="dxa" w:w="9972"/>
            <w:shd w:val="clear" w:color="auto" w:fill="F1F4FB"/>
            <w:tcBorders>
              <w:left w:val="single" w:sz="24" w:color="0B1F4D"/>
              <w:top w:val="single" w:sz="4" w:color="CCD3E0"/>
              <w:right w:val="single" w:sz="4" w:color="CCD3E0"/>
              <w:bottom w:val="single" w:sz="4" w:color="CCD3E0"/>
            </w:tcBorders>
          </w:tcPr>
          <w:p>
            <w:pPr>
              <w:spacing w:after="40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v3.3 트리거</w:t>
            </w:r>
          </w:p>
          <w:p>
            <w:pPr>
              <w:spacing w:after="0"/>
            </w:pPr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Pilot 3社 M3 시점 데이터로 가설 5개 중 4개를 "실증" 단계로 끌어올리면 v3.3 발행. 이 시점에 IR 덱 v2.0 / 마스터 v3.3 / 통합 워크북 v2.0 동시 배포 권고.</w:t>
            </w:r>
          </w:p>
        </w:tc>
      </w:tr>
    </w:tbl>
    <w:p>
      <w:pPr>
        <w:spacing w:after="80" w:line="324" w:lineRule="auto"/>
      </w:pPr>
    </w:p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