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Internal Only · v2.0 Deep-dive</w:t>
      </w:r>
    </w:p>
    <w:p>
      <w:r>
        <w:rPr>
          <w:rFonts w:ascii="맑은 고딕" w:hAnsi="맑은 고딕" w:eastAsia="맑은 고딕"/>
          <w:b/>
          <w:i w:val="0"/>
          <w:color w:val="0B1F4D"/>
          <w:sz w:val="44"/>
        </w:rPr>
        <w:t>회사 운영 미흡 점검 (고도화판)</w:t>
      </w:r>
    </w:p>
    <w:p>
      <w:r>
        <w:rPr>
          <w:rFonts w:ascii="맑은 고딕" w:hAnsi="맑은 고딕" w:eastAsia="맑은 고딕"/>
          <w:b w:val="0"/>
          <w:i/>
          <w:color w:val="555A66"/>
          <w:sz w:val="23"/>
        </w:rPr>
        <w:t>v1.0의 7개 영역 → 14개 영역 확장 + Impact×Effort·Budget·Dependency·Benchmark·Anti-pattern 추가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v1.0 대비 고도화된 것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① 7 → 14 영역 (신규 7개: 제품 전략 meta·가격 진화·파트너십·IP/데이터 전략·사고 커뮤니케이션·인재/문화·경쟁 해자). ② 각 영역마다 Impact·Effort·Budget·Dependency·Benchmark·Anti-pattern 필드 추가. ③ 90일 이후 6/12개월 체크포인트.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1. Impact × Effort Matrix — 14 영역 한눈 보기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Impact(1~5)·Effort(1~5)·Budget(₩M)·Dependency. Impact가 높고 Effort가 낮은 순으로 먼저 착수.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1719"/>
        <w:gridCol w:w="1719"/>
        <w:gridCol w:w="1719"/>
        <w:gridCol w:w="1719"/>
        <w:gridCol w:w="1719"/>
        <w:gridCol w:w="1719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#</w:t>
            </w:r>
          </w:p>
        </w:tc>
        <w:tc>
          <w:tcPr>
            <w:tcW w:type="dxa" w:w="3118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영역</w:t>
            </w:r>
          </w:p>
        </w:tc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Impact</w:t>
            </w:r>
          </w:p>
        </w:tc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Effort</w:t>
            </w:r>
          </w:p>
        </w:tc>
        <w:tc>
          <w:tcPr>
            <w:tcW w:type="dxa" w:w="1134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₩M</w:t>
            </w:r>
          </w:p>
        </w:tc>
        <w:tc>
          <w:tcPr>
            <w:tcW w:type="dxa" w:w="2551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0"/>
              </w:rPr>
              <w:t>Dependency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I-01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외부 검증 (인터뷰·검토·LOI)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2"/>
              </w:rPr>
              <w:t>5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₩20M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없음 (1순위)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I-02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실제 자산 (코드·UX·Eval)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2"/>
              </w:rPr>
              <w:t>5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5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₩60M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I-01 일부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I-03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GTM 실체 (파이프라인·콘텐츠)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2"/>
              </w:rPr>
              <w:t>5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4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₩30M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I-02 최소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I-04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인력·조직 실체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₩5M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없음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I-05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재무 실측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₩10M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I-04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I-06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법인·고지 기본기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₩8M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없음 (1순위)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I-07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운영 리듬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2"/>
              </w:rPr>
              <w:t>3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1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₩2M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I-04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I-08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제품 전략 meta (추가/폐기 프레임)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2"/>
              </w:rPr>
              <w:t>3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₩3M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I-02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I-09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가격 진화 (Pilot → 3년)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3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₩5M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I-01·I-03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I-10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파트너십·생태계 (SI·클라우드)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4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₩15M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I-02·I-03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I-11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IP·데이터 전략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D97A1E"/>
                <w:sz w:val="22"/>
              </w:rPr>
              <w:t>4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3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₩12M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I-02·법무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I-12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사고 커뮤니케이션 (PII·모델·언론)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C0292A"/>
                <w:sz w:val="22"/>
              </w:rPr>
              <w:t>5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2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₩8M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I-06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I-13</w:t>
            </w:r>
          </w:p>
        </w:tc>
        <w:tc>
          <w:tcPr>
            <w:tcW w:type="dxa" w:w="3118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인재·문화 (채용·브랜드·성장)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2"/>
              </w:rPr>
              <w:t>3</w:t>
            </w:r>
          </w:p>
        </w:tc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4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₩20M</w:t>
            </w:r>
          </w:p>
        </w:tc>
        <w:tc>
          <w:tcPr>
            <w:tcW w:type="dxa" w:w="2551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I-04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I-14</w:t>
            </w:r>
          </w:p>
        </w:tc>
        <w:tc>
          <w:tcPr>
            <w:tcW w:type="dxa" w:w="3118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경쟁 해자 (18개월 후)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555A66"/>
                <w:sz w:val="22"/>
              </w:rPr>
              <w:t>3</w:t>
            </w:r>
          </w:p>
        </w:tc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2"/>
              </w:rPr>
              <w:t>5</w:t>
            </w:r>
          </w:p>
        </w:tc>
        <w:tc>
          <w:tcPr>
            <w:tcW w:type="dxa" w:w="1134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0"/>
              </w:rPr>
              <w:t>₩40M</w:t>
            </w:r>
          </w:p>
        </w:tc>
        <w:tc>
          <w:tcPr>
            <w:tcW w:type="dxa" w:w="2551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555A66"/>
                <w:sz w:val="19"/>
              </w:rPr>
              <w:t>I-02·I-11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val="clear" w:color="auto" w:fill="F4F6FB"/>
            <w:tcBorders>
              <w:left w:val="single" w:sz="24" w:color="1B7F4D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Quick Win 권고 (Impact≥4 × Effort≤2)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I-01 외부 검증, I-04 인력 명확화, I-05 재무 실측, I-06 법인 기본기, I-12 사고 커뮤니케이션. 이 5개는 예산 합계 ₩51M 이내에서 30일 안에 닫을 수 있는 ‘저비용 고효과’ 항목입니다.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2. Dependency Graph</w:t>
      </w:r>
    </w:p>
    <w:p>
      <w:pPr>
        <w:spacing w:after="40"/>
      </w:pPr>
      <w:r>
        <w:rPr>
          <w:rFonts w:ascii="맑은 고딕" w:hAnsi="맑은 고딕" w:eastAsia="맑은 고딕"/>
          <w:b w:val="0"/>
          <w:i/>
          <w:color w:val="555A66"/>
          <w:sz w:val="21"/>
        </w:rPr>
        <w:t>화살표는 ‘먼저 닫혀야 뒤가 의미 있음’을 의미.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I-01 외부 검증 → I-02 자산 우선순위 → I-03 GTM 메시지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I-04 인력 실체 → I-05 재무 실측 → I-07 운영 리듬 → I-13 인재 문화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I-06 법인 기본기 → I-12 사고 커뮤니케이션 → 대외 신뢰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I-02 제품 자산 → I-11 IP/데이터 전략 → I-14 경쟁 해자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I-01+I-03 → I-10 파트너십 (레퍼런스 없이 파트너십 불가)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I-03 가격 실험 → I-09 가격 진화 (데이터 없이 다음 가격 못 세움)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3. 신규 7개 영역 상세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I-08 제품 전략 meta — 추가/폐기 프레임워크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‘Skill을 언제 추가·폐기·동결할지’ 판단 기준 없음. 매주 요청에 반응하는 조직이 됨.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Shopify Axis (기능 추가 3 질문: 고객 수·대체 가능성·운영 부담), Atlassian의 Feature Sunset 플레이북.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Skill 추가 기준 (요청 N社 이상 + 골든셋 30건 이상 + ROI 양)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Skill 폐기 기준 (90일간 사용 &lt; 10건 → Deprecate)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동결(Freeze) 기준 (Pilot 중 가설 검증 전 신규 기능 금지)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로드맵 공개 정책 (Public vs Internal 수준)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Anti-pattern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C0292A"/>
          <w:sz w:val="21"/>
        </w:rPr>
        <w:t>‘고객이 원하면 다 만든다’ — 스킬 인플레이션으로 운영 부담만 증가.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성공 기준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분기 1회 Skill 추가·폐기 회의 1건 + 의사결정 로그.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I-09 가격 진화 — Pilot → 3년 후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Pilot 무료 + 정식 30% 할인만 정의. 1년 후 정가·할인 정책·대형 고객 디스카운트·도메인 팩 가격 로직 미정.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Figma의 Seat → Enterprise 진화, Notion의 Starter/Plus/Business/Enterprise 4티어 안정화 2년.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정식 가격 5~10社 확보 후 리프라이싱 룰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대형 고객 Volume Discount 테이블 (50·100·500 사용자)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도메인 팩 단가 (법무/세무/의료 각기 다름)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토큰 초과분 과금 방식 (Pay-per-use vs Pool)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연간/다년 계약 할인 (15%/25%)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성공 기준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6개월 후 v1.0 가격표 1장 + 12개월 후 v2.0.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I-10 파트너십·생태계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SI·클라우드·컨설팅·리셀러 대상 Partner ToM 0건. 우리 혼자 매출 올려야 함.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Databricks의 SI 파트너 프로그램, Snowflake의 Solution Partner 티어제, HubSpot의 Agency Partner.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SI 파트너 마진 구조 (10~20% 재판매 수수료)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클라우드 MSP 공동 GTM (AWS/Azure Marketplace 등재)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컨설팅사 채널 (대형 컨설팅과 공동 제안)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도메인 전문가 (법무/세무 법인) 파트너 시나리오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기술 파트너 (Anthropic·클라우드) 레버리지 정도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Anti-pattern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C0292A"/>
          <w:sz w:val="21"/>
        </w:rPr>
        <w:t>1호 레퍼런스 없이 파트너십 협상 → 불리한 조건에 잠김.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I-11 IP·데이터 전략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프롬프트·Skill·고객 데이터 각각에 대한 소유/활용/학습 정책 미정.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Anthropic의 API Input/Output 정책, OpenAI의 Enterprise 데이터 분리, Hugging Face의 Dataset 라이선스 체계.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프롬프트 자산: 공개·비공개 분류 기준 + 유출 방지 저장소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Skill 공식화: 버전 관리·지적재산 귀속·오픈소스 vs 비공개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데이터: 학습 미사용 원칙 + 익명화/통계 활용 레이어 동의 별도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모델 선택권 (Claude vs 국산 vs 온프레미스) 로드맵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특허 출원 검토 (핵심 Skill 2~3개)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성공 기준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IP 정책 1장 + 데이터 처리 정책 1장 (고객 공개용).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I-12 사고 커뮤니케이션 플레이북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PII 사고·모델 hallucination·언론 노출·고객 측 오사용 시 대응 문구·채널·판단 기준 0건.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Atlassian Incident Handbook, Cloudflare의 Postmortem 공개 문화, Zendesk의 Trust Center.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사고 분류 (P1 서비스 중단·P2 데이터·P3 품질·P4 언론) + SLA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대고객 사고 통지 템플릿 4종 (시점별·심각도별)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대언론 Q&amp;A 키트 (CEO 대변인 응답 5종)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포스트모템 공개 기준 (내부·고객·공개 3티어)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법적 자문 연락 트리 (몇 단계 시점에 누가 법무 호출)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Anti-pattern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C0292A"/>
          <w:sz w:val="21"/>
        </w:rPr>
        <w:t>사고 발생 후 ‘우리 잘못 없습니다’ 첫 응답 — 신뢰 즉시 파괴.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성공 기준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3개월 내 모의 사고 훈련 1회 + 통지 템플릿 4종 준비.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I-13 인재·문화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채용 브랜드·기술 블로그·컨퍼런스 발표·핵심 인재 유지 정책 0건.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Stripe의 Engineering 블로그, Linear의 Manifesto, Netflix Culture Deck.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채용 브랜드 (회사 소개 + 일하는 방식 + 스톡 옵션 정책)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기술 블로그 (의사결정 로그 공개) 0편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발표 이력 (컨퍼런스·밋업·세미나) 0건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핵심 인재 유지 (성과급·스톡·성장 경로) 프레임 없음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원격/하이브리드 정책·온보딩 표준 없음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I-14 경쟁 해자 (Moat, 18개월 후)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현재: ‘지금 무엇이 우리만 가능한가’ 와 ‘18개월 후 해자’가 설계에 명시되지 않음.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Benchmark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101A33"/>
          <w:sz w:val="21"/>
        </w:rPr>
        <w:t>Glean의 Enterprise Search 해자 = 커넥터 100+ · 정밀도 튜닝 데이터. Harvey의 해자 = 법무 도메인 독점 데이터.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빠져 있는 것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Data Moat: 도메인 패턴 데이터 축적 전략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Network Moat: 사용자 간 협업/공유로 인한 가치 증가 루프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Brand Moat: ‘기업 AI 운영’ = 우리 = 신뢰의 포지셔닝 전략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Switching Cost: 커스텀 Skill·학습된 워크플로우·감사 로그 이력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Regulatory Moat: 특정 산업(의료·금융) 인증·표준 리더십</w:t>
      </w:r>
    </w:p>
    <w:p>
      <w:pPr>
        <w:spacing w:before="100" w:after="40"/>
      </w:pPr>
      <w:r>
        <w:rPr>
          <w:rFonts w:ascii="맑은 고딕" w:hAnsi="맑은 고딕" w:eastAsia="맑은 고딕"/>
          <w:b/>
          <w:i w:val="0"/>
          <w:color w:val="101A33"/>
          <w:sz w:val="22"/>
        </w:rPr>
        <w:t>Anti-pattern</w:t>
      </w:r>
    </w:p>
    <w:p>
      <w:pPr>
        <w:spacing w:after="40"/>
      </w:pPr>
      <w:r>
        <w:rPr>
          <w:rFonts w:ascii="맑은 고딕" w:hAnsi="맑은 고딕" w:eastAsia="맑은 고딕"/>
          <w:b w:val="0"/>
          <w:i w:val="0"/>
          <w:color w:val="C0292A"/>
          <w:sz w:val="21"/>
        </w:rPr>
        <w:t>‘Claude 래퍼’ 수준의 차별화만 남을 경우 18개월 내 무너짐.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4. 90일 우선순위 로드맵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37"/>
        <w:gridCol w:w="3437"/>
        <w:gridCol w:w="3437"/>
      </w:tblGrid>
      <w:tr>
        <w:tc>
          <w:tcPr>
            <w:tcW w:type="dxa" w:w="1417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기간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포커스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산출물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1~14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Quick Win 5건 (I-01·04·05·06·12)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인터뷰 5건 · 조직도 · Runway · 홈페이지 1P · 사고 템플릿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15~28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I-02 자산 가속 + I-03 파이프라인 MVP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Phase 1 코드 + UX 5화면 + 후보 30社 리스트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29~45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I-09 가격 실험 + I-11 IP 정책 초안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가격 가설 3개 A/B 설계 + IP 1장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46~60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I-08 제품 meta + I-13 인재 브랜드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추가/폐기 프레임 + 채용 페이지 1P + 블로그 1편</w:t>
            </w:r>
          </w:p>
        </w:tc>
      </w:tr>
      <w:tr>
        <w:tc>
          <w:tcPr>
            <w:tcW w:type="dxa" w:w="1417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61~75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I-10 파트너십 탐색 + I-14 해자 로드맵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SI 3社 미팅 + 해자 18개월 계획 1장</w:t>
            </w:r>
          </w:p>
        </w:tc>
      </w:tr>
      <w:tr>
        <w:tc>
          <w:tcPr>
            <w:tcW w:type="dxa" w:w="1417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Day 76~90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E40AF"/>
                <w:sz w:val="20"/>
              </w:rPr>
              <w:t>통합 리뷰 + v3.3 마스터 갱신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14 영역 상태 대시보드 + v3.3 설계 갱신안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4"/>
        </w:rPr>
        <w:t>5. 6개월·12개월 체크포인트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6개월 체크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정식 전환 고객 3社 이상 (I-03 GTM 검증)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외부 보안 검토 High 0건 2회 (I-06·I-12)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14 영역 중 10개 Green (I-01~14)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가격 v2.0 발표 (I-09)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IP·데이터 정책 공개 (I-11)</w:t>
      </w:r>
    </w:p>
    <w:p>
      <w:pPr>
        <w:spacing w:before="160" w:after="60"/>
      </w:pPr>
      <w:r>
        <w:rPr>
          <w:rFonts w:ascii="맑은 고딕" w:hAnsi="맑은 고딕" w:eastAsia="맑은 고딕"/>
          <w:b/>
          <w:i w:val="0"/>
          <w:color w:val="1E40AF"/>
          <w:sz w:val="26"/>
        </w:rPr>
        <w:t>12개월 체크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10社 이상 정식 고객 + Payback 우리측 도달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SI 파트너 2社 이상 공식 계약 (I-10)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도메인 팩 1~2종 실매출 (I-08·I-09)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모의 사고 훈련 2회 통과 (I-12)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Data Moat 지표 정의 및 측정 시작 (I-14)</w:t>
      </w:r>
    </w:p>
    <w:sectPr w:rsidR="00FC693F" w:rsidRPr="0006063C" w:rsidSect="00034616">
      <w:pgSz w:w="12240" w:h="15840"/>
      <w:pgMar w:top="850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