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맑은 고딕" w:hAnsi="맑은 고딕" w:eastAsia="맑은 고딕"/>
          <w:b/>
          <w:i w:val="0"/>
          <w:color w:val="B88A00"/>
          <w:sz w:val="22"/>
        </w:rPr>
        <w:t>Pilot Operations Kit · Pack B</w:t>
      </w:r>
    </w:p>
    <w:p>
      <w:r>
        <w:rPr>
          <w:rFonts w:ascii="맑은 고딕" w:hAnsi="맑은 고딕" w:eastAsia="맑은 고딕"/>
          <w:b/>
          <w:i w:val="0"/>
          <w:color w:val="0B1F4D"/>
          <w:sz w:val="48"/>
        </w:rPr>
        <w:t>보안·컴플라이언스 운영 패키지</w:t>
      </w:r>
    </w:p>
    <w:p>
      <w:r>
        <w:rPr>
          <w:rFonts w:ascii="맑은 고딕" w:hAnsi="맑은 고딕" w:eastAsia="맑은 고딕"/>
          <w:b w:val="0"/>
          <w:i/>
          <w:color w:val="555A66"/>
          <w:sz w:val="24"/>
        </w:rPr>
        <w:t>v1.0 · PII 처리 흐름 + PIA 약식 + 감사 로그 정책 + 외부 검토 절차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표현 원칙 (v3.2 §9 화이트리스트)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본 문서에서 ‘준수’, ‘인증’, ‘보장’ 등 단정 표현은 사용하지 않습니다. ‘설계’, ‘권고 수준 적용’, ‘외부 검토 결과 반영’ 같은 검증 가능한 표현으로만 기술합니다.</w:t>
            </w:r>
          </w:p>
        </w:tc>
      </w:tr>
    </w:tbl>
    <w:p/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1. PII 처리 흐름 (Data Flow)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원칙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원칙적으로 PII는 입력하지 않는다. 고객 측 데이터 정제 단계에서 1차 마스킹 권고.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불가피하게 입력된 PII는 M2 Skill(Mask Pipeline)이 즉시 마스킹 후 저장·처리한다.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마스킹된 데이터만 모델 추론·로그·산출물에 노출된다.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흐름 단계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3400"/>
        <w:gridCol w:w="3400"/>
        <w:gridCol w:w="3400"/>
      </w:tblGrid>
      <w:tr>
        <w:tc>
          <w:tcPr>
            <w:tcW w:type="dxa" w:w="850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#</w:t>
            </w:r>
          </w:p>
        </w:tc>
        <w:tc>
          <w:tcPr>
            <w:tcW w:type="dxa" w:w="2835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단계</w:t>
            </w:r>
          </w:p>
        </w:tc>
        <w:tc>
          <w:tcPr>
            <w:tcW w:type="dxa" w:w="5953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처리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8"/>
              </w:rPr>
              <w:t>①</w:t>
            </w:r>
          </w:p>
        </w:tc>
        <w:tc>
          <w:tcPr>
            <w:tcW w:type="dxa" w:w="2835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수집 (Ingest)</w:t>
            </w:r>
          </w:p>
        </w:tc>
        <w:tc>
          <w:tcPr>
            <w:tcW w:type="dxa" w:w="5953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고객 업로드 또는 API 입력. TLS 전송.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8"/>
              </w:rPr>
              <w:t>②</w:t>
            </w:r>
          </w:p>
        </w:tc>
        <w:tc>
          <w:tcPr>
            <w:tcW w:type="dxa" w:w="28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검증 (Validate)</w:t>
            </w:r>
          </w:p>
        </w:tc>
        <w:tc>
          <w:tcPr>
            <w:tcW w:type="dxa" w:w="5953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파일 형식·크기 검사. 악성 코드 스캔(ClamAV 등).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8"/>
              </w:rPr>
              <w:t>③</w:t>
            </w:r>
          </w:p>
        </w:tc>
        <w:tc>
          <w:tcPr>
            <w:tcW w:type="dxa" w:w="2835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마스킹 (M2 PII Mask)</w:t>
            </w:r>
          </w:p>
        </w:tc>
        <w:tc>
          <w:tcPr>
            <w:tcW w:type="dxa" w:w="5953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주민번호·전화·이메일·주소·계좌 정규식+휴리스틱 마스킹.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8"/>
              </w:rPr>
              <w:t>④</w:t>
            </w:r>
          </w:p>
        </w:tc>
        <w:tc>
          <w:tcPr>
            <w:tcW w:type="dxa" w:w="28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검역 (Quarantine)</w:t>
            </w:r>
          </w:p>
        </w:tc>
        <w:tc>
          <w:tcPr>
            <w:tcW w:type="dxa" w:w="5953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M3 Prompt Injection Filter — 시스템 지시 우회 패턴 차단.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8"/>
              </w:rPr>
              <w:t>⑤</w:t>
            </w:r>
          </w:p>
        </w:tc>
        <w:tc>
          <w:tcPr>
            <w:tcW w:type="dxa" w:w="2835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처리·추론</w:t>
            </w:r>
          </w:p>
        </w:tc>
        <w:tc>
          <w:tcPr>
            <w:tcW w:type="dxa" w:w="5953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마스킹된 데이터만 모델·Skill에 전달. 토큰 한도 확인(M8).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B88A00"/>
                <w:sz w:val="28"/>
              </w:rPr>
              <w:t>⑥</w:t>
            </w:r>
          </w:p>
        </w:tc>
        <w:tc>
          <w:tcPr>
            <w:tcW w:type="dxa" w:w="28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감사 로깅 (M5)</w:t>
            </w:r>
          </w:p>
        </w:tc>
        <w:tc>
          <w:tcPr>
            <w:tcW w:type="dxa" w:w="5953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요청·응답·메타데이터 90일 보관. 원본 PII는 저장하지 않음.</w:t>
            </w:r>
          </w:p>
        </w:tc>
      </w:tr>
    </w:tbl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2. 개인정보 영향평가 (PIA) 약식판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5100"/>
        <w:gridCol w:w="5100"/>
      </w:tblGrid>
      <w:tr>
        <w:tc>
          <w:tcPr>
            <w:tcW w:type="dxa" w:w="2835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항목</w:t>
            </w:r>
          </w:p>
        </w:tc>
        <w:tc>
          <w:tcPr>
            <w:tcW w:type="dxa" w:w="6803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응답</w:t>
            </w:r>
          </w:p>
        </w:tc>
      </w:tr>
      <w:tr>
        <w:tc>
          <w:tcPr>
            <w:tcW w:type="dxa" w:w="2835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처리 목적</w:t>
            </w:r>
          </w:p>
        </w:tc>
        <w:tc>
          <w:tcPr>
            <w:tcW w:type="dxa" w:w="6803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Pilot 4주 운영 및 5개 가설 검증.</w:t>
            </w:r>
          </w:p>
        </w:tc>
      </w:tr>
      <w:tr>
        <w:tc>
          <w:tcPr>
            <w:tcW w:type="dxa" w:w="28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처리 데이터 항목</w:t>
            </w:r>
          </w:p>
        </w:tc>
        <w:tc>
          <w:tcPr>
            <w:tcW w:type="dxa" w:w="6803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업무 문서·로그·프롬프트. 원칙적으로 PII 미수집.</w:t>
            </w:r>
          </w:p>
        </w:tc>
      </w:tr>
      <w:tr>
        <w:tc>
          <w:tcPr>
            <w:tcW w:type="dxa" w:w="2835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법적 근거</w:t>
            </w:r>
          </w:p>
        </w:tc>
        <w:tc>
          <w:tcPr>
            <w:tcW w:type="dxa" w:w="6803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고객사와의 위탁 계약 (DPA).</w:t>
            </w:r>
          </w:p>
        </w:tc>
      </w:tr>
      <w:tr>
        <w:tc>
          <w:tcPr>
            <w:tcW w:type="dxa" w:w="28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보관 기간</w:t>
            </w:r>
          </w:p>
        </w:tc>
        <w:tc>
          <w:tcPr>
            <w:tcW w:type="dxa" w:w="6803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처리 데이터 30일, 감사 로그 90일.</w:t>
            </w:r>
          </w:p>
        </w:tc>
      </w:tr>
      <w:tr>
        <w:tc>
          <w:tcPr>
            <w:tcW w:type="dxa" w:w="2835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제3자 제공</w:t>
            </w:r>
          </w:p>
        </w:tc>
        <w:tc>
          <w:tcPr>
            <w:tcW w:type="dxa" w:w="6803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없음. 단, 모델 추론을 위해 Anthropic API에 마스킹된 데이터 전송.</w:t>
            </w:r>
          </w:p>
        </w:tc>
      </w:tr>
      <w:tr>
        <w:tc>
          <w:tcPr>
            <w:tcW w:type="dxa" w:w="28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국외 이전</w:t>
            </w:r>
          </w:p>
        </w:tc>
        <w:tc>
          <w:tcPr>
            <w:tcW w:type="dxa" w:w="6803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Anthropic API (미국) — DPA 별표에 명시.</w:t>
            </w:r>
          </w:p>
        </w:tc>
      </w:tr>
      <w:tr>
        <w:tc>
          <w:tcPr>
            <w:tcW w:type="dxa" w:w="2835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고위험 처리 여부</w:t>
            </w:r>
          </w:p>
        </w:tc>
        <w:tc>
          <w:tcPr>
            <w:tcW w:type="dxa" w:w="6803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아니오. Pilot 단계에서 의료/금융/아동 정보 미처리 원칙.</w:t>
            </w:r>
          </w:p>
        </w:tc>
      </w:tr>
      <w:tr>
        <w:tc>
          <w:tcPr>
            <w:tcW w:type="dxa" w:w="2835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101A33"/>
                <w:sz w:val="20"/>
              </w:rPr>
              <w:t>정보주체 권리 보장</w:t>
            </w:r>
          </w:p>
        </w:tc>
        <w:tc>
          <w:tcPr>
            <w:tcW w:type="dxa" w:w="6803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고객사 통한 열람·정정·삭제 요청 처리(30일 이내).</w:t>
            </w:r>
          </w:p>
        </w:tc>
      </w:tr>
    </w:tbl>
    <w:p/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3. 감사 로그 정책 (M5 Audit Logger)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수집 항목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요청 메타데이터: 시각, 사용자 ID(해시), Skill ID, 토큰 수, 응답 시간, 성공/실패.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응답 메타데이터: Skill 결과 요약, 정책 위반 여부.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원본 입력·출력은 별도 저장하지 않으며, 식별 가능한 정보는 마스킹 후 30일 보관.</w:t>
      </w:r>
    </w:p>
    <w:p>
      <w:pPr>
        <w:spacing w:before="200" w:after="80"/>
      </w:pPr>
      <w:r>
        <w:rPr>
          <w:rFonts w:ascii="맑은 고딕" w:hAnsi="맑은 고딕" w:eastAsia="맑은 고딕"/>
          <w:b/>
          <w:i w:val="0"/>
          <w:color w:val="1E40AF"/>
          <w:sz w:val="27"/>
        </w:rPr>
        <w:t>보관·접근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보관 기간: 90일. 이후 자동 파기.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접근 권한: 보안 책임자·기술 리드 2인. 모든 조회는 메타 로그로 재기록.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B88A00"/>
          <w:sz w:val="21"/>
        </w:rPr>
        <w:t xml:space="preserve">•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고객 요청 시: 자체 영역 분 익스포트 가능 (요청 후 5영업일 내).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4. 외부 보안 검토 절차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1.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검토 발주: D-28에 외부 보안 검토 1건 발주(예산 ₩15M, 2주 소요).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2.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검토 범위: 인프라 구성, PII 처리 흐름, 키/권한 관리, 인젝션 방어.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3.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결과 등급: Critical / High / Medium / Low. High 이상 1건 발견 시 출범 보류.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4.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보고서 보관: 외부 자문 결과는 비공개로 관리. 고객 요청 시 NDA 하 요약본 공유.</w:t>
      </w:r>
    </w:p>
    <w:p>
      <w:pPr>
        <w:spacing w:after="20"/>
        <w:ind w:left="283"/>
      </w:pPr>
      <w:r>
        <w:rPr>
          <w:rFonts w:ascii="맑은 고딕" w:hAnsi="맑은 고딕" w:eastAsia="맑은 고딕"/>
          <w:b/>
          <w:i w:val="0"/>
          <w:color w:val="0B1F4D"/>
          <w:sz w:val="21"/>
        </w:rPr>
        <w:t xml:space="preserve">5. </w:t>
      </w:r>
      <w:r>
        <w:rPr>
          <w:rFonts w:ascii="맑은 고딕" w:hAnsi="맑은 고딕" w:eastAsia="맑은 고딕"/>
          <w:b w:val="0"/>
          <w:i w:val="0"/>
          <w:color w:val="101A33"/>
          <w:sz w:val="21"/>
        </w:rPr>
        <w:t>재검토 주기: 정식 전환 후 분기 1회 또는 중대 변경 시.</w:t>
      </w:r>
    </w:p>
    <w:p>
      <w:r>
        <w:br w:type="page"/>
      </w:r>
    </w:p>
    <w:p>
      <w:pPr>
        <w:spacing w:before="120" w:after="160"/>
        <w:pBdr>
          <w:bottom w:val="single" w:sz="12" w:space="1" w:color="B88A00"/>
        </w:pBdr>
      </w:pPr>
      <w:r>
        <w:rPr>
          <w:rFonts w:ascii="맑은 고딕" w:hAnsi="맑은 고딕" w:eastAsia="맑은 고딕"/>
          <w:b/>
          <w:i w:val="0"/>
          <w:color w:val="0B1F4D"/>
          <w:sz w:val="36"/>
        </w:rPr>
        <w:t>5. 보안 설문 대응 키트 (SIG/CAIQ Lite)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4" w:color="CCD3E0"/>
          <w:left w:val="single" w:sz="4" w:color="CCD3E0"/>
          <w:bottom w:val="single" w:sz="4" w:color="CCD3E0"/>
          <w:right w:val="single" w:sz="4" w:color="CCD3E0"/>
          <w:insideH w:val="single" w:sz="4" w:color="CCD3E0"/>
          <w:insideV w:val="single" w:sz="4" w:color="CCD3E0"/>
        </w:tblBorders>
      </w:tblPr>
      <w:tblGrid>
        <w:gridCol w:w="3400"/>
        <w:gridCol w:w="3400"/>
        <w:gridCol w:w="3400"/>
      </w:tblGrid>
      <w:tr>
        <w:tc>
          <w:tcPr>
            <w:tcW w:type="dxa" w:w="850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#</w:t>
            </w:r>
          </w:p>
        </w:tc>
        <w:tc>
          <w:tcPr>
            <w:tcW w:type="dxa" w:w="3969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질문</w:t>
            </w:r>
          </w:p>
        </w:tc>
        <w:tc>
          <w:tcPr>
            <w:tcW w:type="dxa" w:w="4819"/>
            <w:shd w:val="clear" w:color="auto" w:fill="0B1F4D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FFFFFF"/>
                <w:sz w:val="21"/>
              </w:rPr>
              <w:t>표준 응답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Q1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ISO 27001 인증 보유?</w:t>
            </w:r>
          </w:p>
        </w:tc>
        <w:tc>
          <w:tcPr>
            <w:tcW w:type="dxa" w:w="481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현재 미보유. 권고 수준의 통제 적용 + 외부 검토 결과 반영. 정식 전환 6개월 내 인증 추진 검토.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Q2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SOC 2 보고서 제공?</w:t>
            </w:r>
          </w:p>
        </w:tc>
        <w:tc>
          <w:tcPr>
            <w:tcW w:type="dxa" w:w="481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현재 없음. 동등 수준 외부 검토 보고서로 갈음.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Q3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데이터 암호화 방식?</w:t>
            </w:r>
          </w:p>
        </w:tc>
        <w:tc>
          <w:tcPr>
            <w:tcW w:type="dxa" w:w="481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전송 TLS 1.2+, 저장 AES-256, 키 분리 발급.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Q4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사고 통지 시간?</w:t>
            </w:r>
          </w:p>
        </w:tc>
        <w:tc>
          <w:tcPr>
            <w:tcW w:type="dxa" w:w="481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인지 후 24시간 이내 서면 통지.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Q5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접근 통제 방식?</w:t>
            </w:r>
          </w:p>
        </w:tc>
        <w:tc>
          <w:tcPr>
            <w:tcW w:type="dxa" w:w="481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최소 권한 + MFA. 분기 1회 권한 검토.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Q6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데이터 위치?</w:t>
            </w:r>
          </w:p>
        </w:tc>
        <w:tc>
          <w:tcPr>
            <w:tcW w:type="dxa" w:w="481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고객 합의 클라우드 1개 (한국 리전 우선).</w:t>
            </w:r>
          </w:p>
        </w:tc>
      </w:tr>
      <w:tr>
        <w:tc>
          <w:tcPr>
            <w:tcW w:type="dxa" w:w="850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Q7</w:t>
            </w:r>
          </w:p>
        </w:tc>
        <w:tc>
          <w:tcPr>
            <w:tcW w:type="dxa" w:w="396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PII 처리 여부?</w:t>
            </w:r>
          </w:p>
        </w:tc>
        <w:tc>
          <w:tcPr>
            <w:tcW w:type="dxa" w:w="4819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원칙적으로 미처리. 불가피 시 즉시 마스킹.</w:t>
            </w:r>
          </w:p>
        </w:tc>
      </w:tr>
      <w:tr>
        <w:tc>
          <w:tcPr>
            <w:tcW w:type="dxa" w:w="850"/>
            <w:shd w:val="clear" w:color="auto" w:fill="F4F6FB"/>
            <w:vAlign w:val="center"/>
          </w:tcPr>
          <w:p>
            <w:pPr>
              <w:jc w:val="center"/>
            </w:pPr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0"/>
              </w:rPr>
              <w:t>Q8</w:t>
            </w:r>
          </w:p>
        </w:tc>
        <w:tc>
          <w:tcPr>
            <w:tcW w:type="dxa" w:w="396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감사권 (Audit Right)?</w:t>
            </w:r>
          </w:p>
        </w:tc>
        <w:tc>
          <w:tcPr>
            <w:tcW w:type="dxa" w:w="4819"/>
            <w:shd w:val="clear" w:color="auto" w:fill="F4F6FB"/>
            <w:vAlign w:val="center"/>
          </w:tcPr>
          <w:p>
            <w:r/>
            <w:r>
              <w:rPr>
                <w:rFonts w:ascii="맑은 고딕" w:hAnsi="맑은 고딕" w:eastAsia="맑은 고딕"/>
                <w:b w:val="0"/>
                <w:i w:val="0"/>
                <w:color w:val="101A33"/>
                <w:sz w:val="20"/>
              </w:rPr>
              <w:t>연 1회, 30일 사전 통지, NDA 전제로 허용.</w:t>
            </w:r>
          </w:p>
        </w:tc>
      </w:tr>
    </w:tbl>
    <w:p/>
    <w:tbl>
      <w:tblPr>
        <w:tblW w:type="auto" w:w="0"/>
        <w:tblLook w:firstColumn="1" w:firstRow="1" w:lastColumn="0" w:lastRow="0" w:noHBand="0" w:noVBand="1" w:val="04A0"/>
      </w:tblPr>
      <w:tblGrid>
        <w:gridCol w:w="10200"/>
      </w:tblGrid>
      <w:tr>
        <w:tc>
          <w:tcPr>
            <w:tcW w:type="dxa" w:w="10200"/>
            <w:shd w:val="clear" w:color="auto" w:fill="F4F6FB"/>
            <w:tcBorders>
              <w:left w:val="single" w:sz="24" w:color="B88A00"/>
              <w:top w:val="single" w:sz="4" w:color="DDE2EE"/>
              <w:right w:val="single" w:sz="4" w:color="DDE2EE"/>
              <w:bottom w:val="single" w:sz="4" w:color="DDE2EE"/>
            </w:tcBorders>
          </w:tcPr>
          <w:p>
            <w:r/>
            <w:r>
              <w:rPr>
                <w:rFonts w:ascii="맑은 고딕" w:hAnsi="맑은 고딕" w:eastAsia="맑은 고딕"/>
                <w:b/>
                <w:i w:val="0"/>
                <w:color w:val="0B1F4D"/>
                <w:sz w:val="22"/>
              </w:rPr>
              <w:t>주의</w:t>
            </w:r>
          </w:p>
          <w:p>
            <w:r>
              <w:rPr>
                <w:rFonts w:ascii="맑은 고딕" w:hAnsi="맑은 고딕" w:eastAsia="맑은 고딕"/>
                <w:b w:val="0"/>
                <w:i/>
                <w:color w:val="555A66"/>
                <w:sz w:val="20"/>
              </w:rPr>
              <w:t>본 응답은 ‘초안 표준 응답’입니다. 고객사 실제 보안 설문 항목과 100% 일치하지 않을 수 있으며, 응답 전 보안 책임자가 항목별 사실 일치 여부를 재확인해야 합니다.</w:t>
            </w:r>
          </w:p>
        </w:tc>
      </w:tr>
    </w:tbl>
    <w:p/>
    <w:sectPr w:rsidR="00FC693F" w:rsidRPr="0006063C" w:rsidSect="00034616">
      <w:pgSz w:w="12240" w:h="15840"/>
      <w:pgMar w:top="907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맑은 고딕" w:hAnsi="맑은 고딕" w:eastAsia="맑은 고딕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