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맑은 고딕" w:hAnsi="맑은 고딕" w:eastAsia="맑은 고딕"/>
          <w:b/>
          <w:i w:val="0"/>
          <w:color w:val="B88A00"/>
          <w:sz w:val="22"/>
        </w:rPr>
        <w:t>Pilot Operations Kit · Pack A</w:t>
      </w:r>
    </w:p>
    <w:p>
      <w:r>
        <w:rPr>
          <w:rFonts w:ascii="맑은 고딕" w:hAnsi="맑은 고딕" w:eastAsia="맑은 고딕"/>
          <w:b/>
          <w:i w:val="0"/>
          <w:color w:val="0B1F4D"/>
          <w:sz w:val="48"/>
        </w:rPr>
        <w:t>Pilot 계약 패키지</w:t>
      </w:r>
    </w:p>
    <w:p>
      <w:r>
        <w:rPr>
          <w:rFonts w:ascii="맑은 고딕" w:hAnsi="맑은 고딕" w:eastAsia="맑은 고딕"/>
          <w:b w:val="0"/>
          <w:i/>
          <w:color w:val="555A66"/>
          <w:sz w:val="24"/>
        </w:rPr>
        <w:t>v1.0 · Pilot Agreement + DPA + SLA + IP·해지 조항 (서명용 초안)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이 문서의 사용 방법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본 패키지는 1호 Pilot 고객사 서명 직전에 사용하는 표준 계약 초안입니다. 본 계약서를 외부 법무 자문에 검토 의뢰한 후, 검토 의견을 반영하여 최종본을 확정해 주십시오. 본 초안 자체는 법률 자문이 아닙니다.</w:t>
            </w:r>
          </w:p>
        </w:tc>
      </w:tr>
    </w:tbl>
    <w:p/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1. Pilot 계약서 (Letter of Engagement) v1.0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본 계약은 ‘갑’(고객사, 이하 ‘고객’)과 ‘을’(공급자, 이하 ‘공급자’) 간 4주 Pilot 운영을 목적으로 체결된다.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제1조 목적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공급자는 고객의 운영 영역에 ‘기업 전용 AI 운영 빌더’(이하 ‘서비스’)를 4주간 제한적으로 제공한다. 본 Pilot의 목적은 5개 가설(도메인 빈도, 태스크 시간, Self-serve, 비용절감, NPS)의 검증이다.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제2조 기간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Pilot 기간: 본 계약 효력 발생일로부터 4주 (28일).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정식 전환 기한: Pilot 종료일로부터 14일 이내 양 당사자가 서면으로 정식 계약 여부를 결정한다.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제3조 범위 (Scope)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1.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공급자는 Phase 1 Skill 4종(M2 PII Mask · M3 Prompt Injection Filter · M5 Audit Logger · M8 Cost Guardrail) 및 Agent 4종(Intake / Analysis / Planning / Builder)을 제공한다.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2.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공급자는 주 1회 운영 회의(매주 금 16:00) 및 주간 측정 리포트 1건을 산출한다.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3.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범위 외 추가 기능, 추가 도메인, 추가 사용자 계정은 별도 합의로 한다.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제4조 산출물 (Deliverables)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400"/>
        <w:gridCol w:w="3400"/>
        <w:gridCol w:w="3400"/>
      </w:tblGrid>
      <w:tr>
        <w:tc>
          <w:tcPr>
            <w:tcW w:type="dxa" w:w="1134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주차</w:t>
            </w:r>
          </w:p>
        </w:tc>
        <w:tc>
          <w:tcPr>
            <w:tcW w:type="dxa" w:w="3402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산출물</w:t>
            </w:r>
          </w:p>
        </w:tc>
        <w:tc>
          <w:tcPr>
            <w:tcW w:type="dxa" w:w="4535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조건</w:t>
            </w:r>
          </w:p>
        </w:tc>
      </w:tr>
      <w:tr>
        <w:tc>
          <w:tcPr>
            <w:tcW w:type="dxa" w:w="1134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W1</w:t>
            </w:r>
          </w:p>
        </w:tc>
        <w:tc>
          <w:tcPr>
            <w:tcW w:type="dxa" w:w="3402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킥오프 자료, Baseline 측정 보고서</w:t>
            </w:r>
          </w:p>
        </w:tc>
        <w:tc>
          <w:tcPr>
            <w:tcW w:type="dxa" w:w="4535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고객 데이터 1차 적재 협조 전제</w:t>
            </w:r>
          </w:p>
        </w:tc>
      </w:tr>
      <w:tr>
        <w:tc>
          <w:tcPr>
            <w:tcW w:type="dxa" w:w="1134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W2</w:t>
            </w:r>
          </w:p>
        </w:tc>
        <w:tc>
          <w:tcPr>
            <w:tcW w:type="dxa" w:w="3402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주간 리포트 #2 + Self-serve 첫 수치</w:t>
            </w:r>
          </w:p>
        </w:tc>
        <w:tc>
          <w:tcPr>
            <w:tcW w:type="dxa" w:w="45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측정 코드 임베드 완료 전제</w:t>
            </w:r>
          </w:p>
        </w:tc>
      </w:tr>
      <w:tr>
        <w:tc>
          <w:tcPr>
            <w:tcW w:type="dxa" w:w="1134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W3</w:t>
            </w:r>
          </w:p>
        </w:tc>
        <w:tc>
          <w:tcPr>
            <w:tcW w:type="dxa" w:w="3402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주간 리포트 #3 + 정식 전환 견적서</w:t>
            </w:r>
          </w:p>
        </w:tc>
        <w:tc>
          <w:tcPr>
            <w:tcW w:type="dxa" w:w="4535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Pilot 진행률 ≥ 60%</w:t>
            </w:r>
          </w:p>
        </w:tc>
      </w:tr>
      <w:tr>
        <w:tc>
          <w:tcPr>
            <w:tcW w:type="dxa" w:w="1134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W4</w:t>
            </w:r>
          </w:p>
        </w:tc>
        <w:tc>
          <w:tcPr>
            <w:tcW w:type="dxa" w:w="3402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Pilot 최종 보고서 + 5개 가설 결과</w:t>
            </w:r>
          </w:p>
        </w:tc>
        <w:tc>
          <w:tcPr>
            <w:tcW w:type="dxa" w:w="45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Go/No-Go 회의 동석</w:t>
            </w:r>
          </w:p>
        </w:tc>
      </w:tr>
    </w:tbl>
    <w:p/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제5조 요금 (Fee)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Pilot 요금: 무상 (4주). 단, 정식 전환 시 첫 3개월 30% 할인된 요금을 적용한다.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고객이 범위 외 기능을 요청하는 경우, 별도 SOW에 따라 시간당 ₩200,000 (VAT 별도)을 청구할 수 있다.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토큰/인프라 직접비는 공급자가 부담한다(월 한도 ₩2,000,000).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제6조 책임 한도 (Liability Cap)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본 계약과 관련하여 공급자의 책임 한도는 다음 중 낮은 금액으로 한다. (가) 본 Pilot 계약 기간 중 고객이 공급자에 지급한 총 금액, (나) 일금 일천만원 정(₩10,000,000). 단, 고의 또는 중대한 과실에 의한 손해는 제외한다.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제7조 비밀유지 (NDA)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양 당사자는 본 Pilot 수행 중 취득한 상대방의 영업비밀, 기술정보, 고객정보, 재무정보를 본 계약 종료 후 3년간 비밀로 유지한다. 본 조항은 본 계약의 종료에도 불구하고 효력이 유지된다.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제8조 IP 귀속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1.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공급자가 Pilot 이전에 보유한 모델, 스킬, 코드, 프롬프트 자산은 공급자의 단독 소유이다.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2.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 데이터 및 고객이 입력한 프롬프트는 고객의 단독 소유이다.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3.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Pilot 기간 중 고객 데이터로 산출된 결과물(보고서, 분석)은 고객이 소유하며, 공급자는 사용권을 갖지 않는다.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4.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공급자는 Pilot 결과를 케이스 스터디로 제작·공개할 수 있다. 단, 고객사명 및 식별 가능 정보는 고객의 별도 서면 동의 후에만 공개한다.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제9조 해지 (Termination)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 일방 해지: 7일 전 서면 통보. 환불은 잔여 일수 비례 정산.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공급자 일방 해지: 14일 전 서면 통보. 단, Kill Switch 발동 시 즉시 해지 가능.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Kill Switch: PII 사고 1건, 비인가 작업 실행 1건, 외부 보안 검토 High 1건 중 어느 하나라도 발생 시 24h 내 운영 중단 후 사후 협의.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제10조 분쟁 해결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본 계약과 관련된 분쟁은 양 당사자 협의로 해결함을 원칙으로 하며, 협의가 결렬될 경우 서울중앙지방법원을 1심 관할 법원으로 한다.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서명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5100"/>
        <w:gridCol w:w="5100"/>
      </w:tblGrid>
      <w:tr>
        <w:tc>
          <w:tcPr>
            <w:tcW w:type="dxa" w:w="4535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갑 (고객사)</w:t>
            </w:r>
          </w:p>
        </w:tc>
        <w:tc>
          <w:tcPr>
            <w:tcW w:type="dxa" w:w="4535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을 (공급자)</w:t>
            </w:r>
          </w:p>
        </w:tc>
      </w:tr>
      <w:tr>
        <w:tc>
          <w:tcPr>
            <w:tcW w:type="dxa" w:w="4535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회사명 / 대표자명 / 서명 / 일자</w:t>
            </w:r>
          </w:p>
        </w:tc>
        <w:tc>
          <w:tcPr>
            <w:tcW w:type="dxa" w:w="4535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회사명 / 대표자명 / 서명 / 일자</w:t>
            </w:r>
          </w:p>
        </w:tc>
      </w:tr>
      <w:tr>
        <w:tc>
          <w:tcPr>
            <w:tcW w:type="dxa" w:w="4535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_______________________</w:t>
            </w:r>
          </w:p>
        </w:tc>
        <w:tc>
          <w:tcPr>
            <w:tcW w:type="dxa" w:w="4535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_______________________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2. 데이터 처리 위탁 계약 (DPA) v1.0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본 DPA는 위 Pilot 계약의 부속서로 효력을 가진다.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제1조 처리 대상 데이터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400"/>
        <w:gridCol w:w="3400"/>
        <w:gridCol w:w="3400"/>
      </w:tblGrid>
      <w:tr>
        <w:tc>
          <w:tcPr>
            <w:tcW w:type="dxa" w:w="1984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데이터 항목</w:t>
            </w:r>
          </w:p>
        </w:tc>
        <w:tc>
          <w:tcPr>
            <w:tcW w:type="dxa" w:w="3402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목적</w:t>
            </w:r>
          </w:p>
        </w:tc>
        <w:tc>
          <w:tcPr>
            <w:tcW w:type="dxa" w:w="3685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보관기간</w:t>
            </w:r>
          </w:p>
        </w:tc>
      </w:tr>
      <w:tr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업무 문서·로그</w:t>
            </w:r>
          </w:p>
        </w:tc>
        <w:tc>
          <w:tcPr>
            <w:tcW w:type="dxa" w:w="3402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Skill 운영, 분석, 산출</w:t>
            </w:r>
          </w:p>
        </w:tc>
        <w:tc>
          <w:tcPr>
            <w:tcW w:type="dxa" w:w="3685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0B1F4D"/>
                <w:sz w:val="20"/>
              </w:rPr>
              <w:t>Pilot 종료 + 30일</w:t>
            </w:r>
          </w:p>
        </w:tc>
      </w:tr>
      <w:tr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프롬프트·산출물</w:t>
            </w:r>
          </w:p>
        </w:tc>
        <w:tc>
          <w:tcPr>
            <w:tcW w:type="dxa" w:w="3402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측정, 품질 개선</w:t>
            </w:r>
          </w:p>
        </w:tc>
        <w:tc>
          <w:tcPr>
            <w:tcW w:type="dxa" w:w="3685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0B1F4D"/>
                <w:sz w:val="20"/>
              </w:rPr>
              <w:t>Pilot 종료 + 30일</w:t>
            </w:r>
          </w:p>
        </w:tc>
      </w:tr>
      <w:tr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감사 로그</w:t>
            </w:r>
          </w:p>
        </w:tc>
        <w:tc>
          <w:tcPr>
            <w:tcW w:type="dxa" w:w="3402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M5 Audit Logger 운영, 사고 대응</w:t>
            </w:r>
          </w:p>
        </w:tc>
        <w:tc>
          <w:tcPr>
            <w:tcW w:type="dxa" w:w="3685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0B1F4D"/>
                <w:sz w:val="20"/>
              </w:rPr>
              <w:t>90일</w:t>
            </w:r>
          </w:p>
        </w:tc>
      </w:tr>
      <w:tr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PII (이름/연락처 등)</w:t>
            </w:r>
          </w:p>
        </w:tc>
        <w:tc>
          <w:tcPr>
            <w:tcW w:type="dxa" w:w="3402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원칙적으로 처리하지 않음. 불가피 시 즉시 마스킹</w:t>
            </w:r>
          </w:p>
        </w:tc>
        <w:tc>
          <w:tcPr>
            <w:tcW w:type="dxa" w:w="3685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0B1F4D"/>
                <w:sz w:val="20"/>
              </w:rPr>
              <w:t>마스킹 후 30일</w:t>
            </w:r>
          </w:p>
        </w:tc>
      </w:tr>
    </w:tbl>
    <w:p/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제2조 보안 조치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전송: TLS 1.2 이상.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저장: AES-256 암호화, 키는 고객 워크스페이스별 분리 발급.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접근 통제: 최소 권한 원칙, 다중 인증(MFA), 분기 1회 권한 검토.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백업: 일 1회, 7일 보관, 분기 1회 복원 테스트.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제3조 재위탁 (Sub-processing)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공급자는 다음 재수탁자(클라우드/모델 제공자)에 한해 데이터를 전송할 수 있다. 재수탁자 변경 시 14일 전 사전 통지하며, 고객은 합리적 사유로 거부할 권한이 있다.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Anthropic (모델 추론) — Claude API.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AWS / GCP / Azure 중 고객 합의 클라우드 1개.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제4조 사고 통지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공급자는 데이터 유출, 비인가 접근, PII 노출 등 사고 발생 시 인지 후 24시간 이내에 고객에게 서면 통지한다. 통지에는 사고 일시, 데이터 범위, 영향 사용자 수, 임시 조치, 재발 방지 계획을 포함한다.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제5조 종료 시 데이터 처리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Pilot 종료 또는 본 계약 해지 시, 공급자는 30일 이내에 고객 데이터를 ‘반환’ 또는 ‘파기’ 중 고객이 선택한 방식으로 처리한다. 감사 로그는 법적 보존 의무를 위해 90일까지 보존한 후 자동 파기한다.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3. 서비스 수준 협약서 (SLA) v1.0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400"/>
        <w:gridCol w:w="3400"/>
        <w:gridCol w:w="3400"/>
      </w:tblGrid>
      <w:tr>
        <w:tc>
          <w:tcPr>
            <w:tcW w:type="dxa" w:w="2835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지표</w:t>
            </w:r>
          </w:p>
        </w:tc>
        <w:tc>
          <w:tcPr>
            <w:tcW w:type="dxa" w:w="3118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Pilot 기준 (4주)</w:t>
            </w:r>
          </w:p>
        </w:tc>
        <w:tc>
          <w:tcPr>
            <w:tcW w:type="dxa" w:w="3118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정식 전환 기준</w:t>
            </w:r>
          </w:p>
        </w:tc>
      </w:tr>
      <w:tr>
        <w:tc>
          <w:tcPr>
            <w:tcW w:type="dxa" w:w="2835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월 가용성</w:t>
            </w:r>
          </w:p>
        </w:tc>
        <w:tc>
          <w:tcPr>
            <w:tcW w:type="dxa" w:w="3118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99.0%</w:t>
            </w:r>
          </w:p>
        </w:tc>
        <w:tc>
          <w:tcPr>
            <w:tcW w:type="dxa" w:w="3118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99.5%</w:t>
            </w:r>
          </w:p>
        </w:tc>
      </w:tr>
      <w:tr>
        <w:tc>
          <w:tcPr>
            <w:tcW w:type="dxa" w:w="28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평균 응답 시간(p95)</w:t>
            </w:r>
          </w:p>
        </w:tc>
        <w:tc>
          <w:tcPr>
            <w:tcW w:type="dxa" w:w="3118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60s</w:t>
            </w:r>
          </w:p>
        </w:tc>
        <w:tc>
          <w:tcPr>
            <w:tcW w:type="dxa" w:w="3118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30s</w:t>
            </w:r>
          </w:p>
        </w:tc>
      </w:tr>
      <w:tr>
        <w:tc>
          <w:tcPr>
            <w:tcW w:type="dxa" w:w="2835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장애 1차 응답</w:t>
            </w:r>
          </w:p>
        </w:tc>
        <w:tc>
          <w:tcPr>
            <w:tcW w:type="dxa" w:w="3118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2h</w:t>
            </w:r>
          </w:p>
        </w:tc>
        <w:tc>
          <w:tcPr>
            <w:tcW w:type="dxa" w:w="3118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1h</w:t>
            </w:r>
          </w:p>
        </w:tc>
      </w:tr>
      <w:tr>
        <w:tc>
          <w:tcPr>
            <w:tcW w:type="dxa" w:w="28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주요 장애 복구</w:t>
            </w:r>
          </w:p>
        </w:tc>
        <w:tc>
          <w:tcPr>
            <w:tcW w:type="dxa" w:w="3118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24h</w:t>
            </w:r>
          </w:p>
        </w:tc>
        <w:tc>
          <w:tcPr>
            <w:tcW w:type="dxa" w:w="3118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8h</w:t>
            </w:r>
          </w:p>
        </w:tc>
      </w:tr>
    </w:tbl>
    <w:p/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보상 (Service Credit)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월 가용성 99.0% 미달 시: 해당 월 요금의 10% 크레딧.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월 가용성 95.0% 미달 시: 해당 월 요금의 30% 크레딧 + 고객 일방 해지 권리.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Pilot 기간 중에는 무상 운영이므로 크레딧 대신 ‘Pilot 1주 무상 연장’으로 갈음한다.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예외 (Exclusion)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 측 시스템 장애·네트워크 단절로 인한 서비스 영향.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재수탁자(Anthropic API 등) 장애로 인한 영향. 단, 발생 시 즉시 통지 의무.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사전 통지된 정기 점검 시간(월 1회, 야간 2h 이내).</w:t>
      </w:r>
    </w:p>
    <w:sectPr w:rsidR="00FC693F" w:rsidRPr="0006063C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 w:eastAsia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